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Extensions/webExtension1.xml" ContentType="application/vnd.wps-officedocument.webExtension+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33314E">
      <w:pPr>
        <w:keepNext w:val="0"/>
        <w:keepLines w:val="0"/>
        <w:pageBreakBefore w:val="0"/>
        <w:widowControl w:val="0"/>
        <w:kinsoku/>
        <w:wordWrap/>
        <w:overflowPunct/>
        <w:topLinePunct w:val="0"/>
        <w:autoSpaceDE/>
        <w:autoSpaceDN/>
        <w:bidi w:val="0"/>
        <w:adjustRightInd/>
        <w:snapToGrid/>
        <w:spacing w:line="960" w:lineRule="auto"/>
        <w:jc w:val="center"/>
        <w:textAlignment w:val="auto"/>
        <w:outlineLvl w:val="0"/>
        <w:rPr>
          <w:rFonts w:hint="eastAsia" w:cs="黑体" w:asciiTheme="minorEastAsia" w:hAnsiTheme="minorEastAsia" w:eastAsiaTheme="minorEastAsia"/>
          <w:b/>
          <w:sz w:val="48"/>
          <w:szCs w:val="48"/>
          <w:highlight w:val="none"/>
          <w:lang w:val="en-US" w:eastAsia="zh-CN"/>
        </w:rPr>
      </w:pPr>
      <w:bookmarkStart w:id="0" w:name="_Toc30873"/>
      <w:bookmarkStart w:id="1" w:name="_Toc16199"/>
      <w:bookmarkStart w:id="2" w:name="_Toc12987"/>
      <w:bookmarkStart w:id="3" w:name="_Toc24091"/>
      <w:bookmarkStart w:id="4" w:name="_Toc5350"/>
      <w:bookmarkStart w:id="5" w:name="_Toc11981"/>
      <w:bookmarkStart w:id="6" w:name="_Toc22288"/>
      <w:bookmarkStart w:id="7" w:name="_Toc4930"/>
      <w:bookmarkStart w:id="8" w:name="_Toc6752"/>
      <w:bookmarkStart w:id="9" w:name="_Toc24270"/>
      <w:bookmarkStart w:id="10" w:name="_Toc14225"/>
      <w:bookmarkStart w:id="11" w:name="_Toc13997"/>
      <w:bookmarkStart w:id="42" w:name="_GoBack"/>
      <w:bookmarkEnd w:id="42"/>
      <w:r>
        <w:rPr>
          <w:rFonts w:hint="eastAsia" w:cs="黑体" w:asciiTheme="minorEastAsia" w:hAnsiTheme="minorEastAsia" w:eastAsiaTheme="minorEastAsia"/>
          <w:b/>
          <w:sz w:val="48"/>
          <w:szCs w:val="48"/>
          <w:highlight w:val="none"/>
          <w:lang w:val="en-US" w:eastAsia="zh-CN"/>
        </w:rPr>
        <w:t>2024年度</w:t>
      </w:r>
      <w:r>
        <w:rPr>
          <w:rFonts w:hint="eastAsia" w:cs="黑体" w:asciiTheme="minorEastAsia" w:hAnsiTheme="minorEastAsia" w:eastAsiaTheme="minorEastAsia"/>
          <w:b/>
          <w:sz w:val="48"/>
          <w:szCs w:val="48"/>
          <w:highlight w:val="none"/>
        </w:rPr>
        <w:t>石家庄城市经济职业学</w:t>
      </w:r>
      <w:bookmarkEnd w:id="0"/>
      <w:bookmarkEnd w:id="1"/>
      <w:bookmarkEnd w:id="2"/>
      <w:bookmarkEnd w:id="3"/>
      <w:bookmarkEnd w:id="4"/>
      <w:bookmarkEnd w:id="5"/>
      <w:r>
        <w:rPr>
          <w:rFonts w:hint="eastAsia" w:cs="黑体" w:asciiTheme="minorEastAsia" w:hAnsiTheme="minorEastAsia" w:eastAsiaTheme="minorEastAsia"/>
          <w:b/>
          <w:sz w:val="48"/>
          <w:szCs w:val="48"/>
          <w:highlight w:val="none"/>
          <w:lang w:val="en-US" w:eastAsia="zh-CN"/>
        </w:rPr>
        <w:t>院</w:t>
      </w:r>
      <w:bookmarkEnd w:id="6"/>
      <w:bookmarkEnd w:id="7"/>
      <w:bookmarkEnd w:id="8"/>
      <w:bookmarkEnd w:id="9"/>
      <w:bookmarkEnd w:id="10"/>
      <w:bookmarkStart w:id="12" w:name="_Toc23087"/>
      <w:bookmarkStart w:id="13" w:name="_Toc19897"/>
      <w:bookmarkStart w:id="14" w:name="_Toc14717"/>
      <w:bookmarkStart w:id="15" w:name="_Toc22785"/>
      <w:bookmarkStart w:id="16" w:name="_Toc27087"/>
    </w:p>
    <w:p w14:paraId="2E234EC0">
      <w:pPr>
        <w:keepNext w:val="0"/>
        <w:keepLines w:val="0"/>
        <w:pageBreakBefore w:val="0"/>
        <w:widowControl w:val="0"/>
        <w:kinsoku/>
        <w:wordWrap/>
        <w:overflowPunct/>
        <w:topLinePunct w:val="0"/>
        <w:autoSpaceDE/>
        <w:autoSpaceDN/>
        <w:bidi w:val="0"/>
        <w:adjustRightInd/>
        <w:snapToGrid/>
        <w:spacing w:line="960" w:lineRule="auto"/>
        <w:jc w:val="center"/>
        <w:textAlignment w:val="auto"/>
        <w:outlineLvl w:val="0"/>
        <w:rPr>
          <w:rFonts w:cs="黑体" w:asciiTheme="minorEastAsia" w:hAnsiTheme="minorEastAsia" w:eastAsiaTheme="minorEastAsia"/>
          <w:b/>
          <w:sz w:val="48"/>
          <w:szCs w:val="48"/>
          <w:highlight w:val="none"/>
        </w:rPr>
      </w:pPr>
      <w:bookmarkStart w:id="17" w:name="_Toc18218"/>
      <w:bookmarkStart w:id="18" w:name="_Toc28296"/>
      <w:r>
        <w:rPr>
          <w:rFonts w:hint="eastAsia" w:cs="黑体" w:asciiTheme="minorEastAsia" w:hAnsiTheme="minorEastAsia" w:eastAsiaTheme="minorEastAsia"/>
          <w:b/>
          <w:sz w:val="48"/>
          <w:szCs w:val="48"/>
          <w:highlight w:val="none"/>
          <w:lang w:val="en-US" w:eastAsia="zh-CN"/>
        </w:rPr>
        <w:t>毕业生就业</w:t>
      </w:r>
      <w:r>
        <w:rPr>
          <w:rFonts w:hint="eastAsia" w:cs="黑体" w:asciiTheme="minorEastAsia" w:hAnsiTheme="minorEastAsia" w:eastAsiaTheme="minorEastAsia"/>
          <w:b/>
          <w:sz w:val="48"/>
          <w:szCs w:val="48"/>
          <w:highlight w:val="none"/>
        </w:rPr>
        <w:t>质量报告</w:t>
      </w:r>
      <w:bookmarkEnd w:id="11"/>
      <w:bookmarkEnd w:id="12"/>
      <w:bookmarkEnd w:id="13"/>
      <w:bookmarkEnd w:id="14"/>
      <w:bookmarkEnd w:id="15"/>
      <w:bookmarkEnd w:id="16"/>
      <w:bookmarkEnd w:id="17"/>
      <w:bookmarkEnd w:id="18"/>
    </w:p>
    <w:p w14:paraId="0FAF7B83">
      <w:pPr>
        <w:jc w:val="center"/>
        <w:rPr>
          <w:rFonts w:hint="eastAsia" w:cs="仿宋_GB2312" w:asciiTheme="minorEastAsia" w:hAnsiTheme="minorEastAsia" w:eastAsiaTheme="minorEastAsia"/>
          <w:sz w:val="30"/>
          <w:szCs w:val="30"/>
          <w:highlight w:val="none"/>
          <w:lang w:eastAsia="zh-CN"/>
        </w:rPr>
      </w:pPr>
      <w:r>
        <w:rPr>
          <w:rFonts w:hint="eastAsia" w:cs="仿宋_GB2312" w:asciiTheme="minorEastAsia" w:hAnsiTheme="minorEastAsia" w:eastAsiaTheme="minorEastAsia"/>
          <w:sz w:val="30"/>
          <w:szCs w:val="30"/>
          <w:highlight w:val="none"/>
          <w:lang w:eastAsia="zh-CN"/>
        </w:rPr>
        <w:drawing>
          <wp:inline distT="0" distB="0" distL="114300" distR="114300">
            <wp:extent cx="3074670" cy="3074670"/>
            <wp:effectExtent l="0" t="0" r="11430" b="11430"/>
            <wp:docPr id="9" name="图片 9" descr="3ddce7772758e7c219f10e142ffd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ddce7772758e7c219f10e142ffd0d4"/>
                    <pic:cNvPicPr>
                      <a:picLocks noChangeAspect="1"/>
                    </pic:cNvPicPr>
                  </pic:nvPicPr>
                  <pic:blipFill>
                    <a:blip r:embed="rId15"/>
                    <a:stretch>
                      <a:fillRect/>
                    </a:stretch>
                  </pic:blipFill>
                  <pic:spPr>
                    <a:xfrm>
                      <a:off x="0" y="0"/>
                      <a:ext cx="3074670" cy="3074670"/>
                    </a:xfrm>
                    <a:prstGeom prst="rect">
                      <a:avLst/>
                    </a:prstGeom>
                  </pic:spPr>
                </pic:pic>
              </a:graphicData>
            </a:graphic>
          </wp:inline>
        </w:drawing>
      </w:r>
    </w:p>
    <w:p w14:paraId="4B8E81A5">
      <w:pPr>
        <w:jc w:val="both"/>
        <w:rPr>
          <w:rFonts w:cs="仿宋_GB2312" w:asciiTheme="minorEastAsia" w:hAnsiTheme="minorEastAsia" w:eastAsiaTheme="minorEastAsia"/>
          <w:sz w:val="30"/>
          <w:szCs w:val="30"/>
          <w:highlight w:val="none"/>
        </w:rPr>
      </w:pPr>
    </w:p>
    <w:p w14:paraId="39889858">
      <w:pPr>
        <w:jc w:val="both"/>
        <w:rPr>
          <w:rFonts w:cs="楷体_GB2312" w:asciiTheme="minorEastAsia" w:hAnsiTheme="minorEastAsia" w:eastAsiaTheme="minorEastAsia"/>
          <w:b/>
          <w:sz w:val="44"/>
          <w:szCs w:val="44"/>
          <w:highlight w:val="none"/>
        </w:rPr>
      </w:pPr>
    </w:p>
    <w:p w14:paraId="643B7DFC">
      <w:pPr>
        <w:jc w:val="center"/>
        <w:rPr>
          <w:rFonts w:cs="楷体_GB2312" w:asciiTheme="minorEastAsia" w:hAnsiTheme="minorEastAsia" w:eastAsiaTheme="minorEastAsia"/>
          <w:b/>
          <w:sz w:val="44"/>
          <w:szCs w:val="44"/>
          <w:highlight w:val="none"/>
        </w:rPr>
      </w:pPr>
      <w:r>
        <w:rPr>
          <w:rFonts w:hint="eastAsia" w:cs="楷体_GB2312" w:asciiTheme="minorEastAsia" w:hAnsiTheme="minorEastAsia" w:eastAsiaTheme="minorEastAsia"/>
          <w:b/>
          <w:sz w:val="44"/>
          <w:szCs w:val="44"/>
          <w:highlight w:val="none"/>
        </w:rPr>
        <w:t>202</w:t>
      </w:r>
      <w:r>
        <w:rPr>
          <w:rFonts w:hint="eastAsia" w:cs="楷体_GB2312" w:asciiTheme="minorEastAsia" w:hAnsiTheme="minorEastAsia" w:eastAsiaTheme="minorEastAsia"/>
          <w:b/>
          <w:sz w:val="44"/>
          <w:szCs w:val="44"/>
          <w:highlight w:val="none"/>
          <w:lang w:val="en-US" w:eastAsia="zh-CN"/>
        </w:rPr>
        <w:t>4</w:t>
      </w:r>
      <w:r>
        <w:rPr>
          <w:rFonts w:hint="eastAsia" w:cs="楷体_GB2312" w:asciiTheme="minorEastAsia" w:hAnsiTheme="minorEastAsia" w:eastAsiaTheme="minorEastAsia"/>
          <w:b/>
          <w:sz w:val="44"/>
          <w:szCs w:val="44"/>
          <w:highlight w:val="none"/>
        </w:rPr>
        <w:t>年12月</w:t>
      </w:r>
    </w:p>
    <w:p w14:paraId="6A0148C4">
      <w:pPr>
        <w:pStyle w:val="9"/>
        <w:tabs>
          <w:tab w:val="right" w:leader="dot" w:pos="9710"/>
        </w:tabs>
        <w:rPr>
          <w:rFonts w:hint="eastAsia" w:ascii="黑体" w:hAnsi="黑体" w:eastAsia="黑体" w:cs="黑体"/>
          <w:kern w:val="2"/>
          <w:sz w:val="40"/>
          <w:szCs w:val="36"/>
          <w:highlight w:val="none"/>
          <w:lang w:val="en-US" w:eastAsia="zh-CN" w:bidi="ar-SA"/>
        </w:rPr>
        <w:sectPr>
          <w:footerReference r:id="rId5" w:type="default"/>
          <w:type w:val="continuous"/>
          <w:pgSz w:w="11910" w:h="16840"/>
          <w:pgMar w:top="1600" w:right="1100" w:bottom="1520" w:left="1100" w:header="0" w:footer="1322" w:gutter="0"/>
          <w:pgNumType w:fmt="upperRoman" w:start="1"/>
          <w:cols w:space="720" w:num="1"/>
        </w:sectPr>
      </w:pPr>
    </w:p>
    <w:p w14:paraId="535A15D7">
      <w:pPr>
        <w:spacing w:after="0"/>
        <w:rPr>
          <w:rFonts w:hint="eastAsia" w:ascii="Times New Roman" w:eastAsia="宋体"/>
          <w:color w:val="auto"/>
          <w:sz w:val="17"/>
          <w:lang w:eastAsia="zh-CN"/>
        </w:rPr>
        <w:sectPr>
          <w:headerReference r:id="rId7" w:type="first"/>
          <w:footerReference r:id="rId9" w:type="first"/>
          <w:headerReference r:id="rId6" w:type="even"/>
          <w:footerReference r:id="rId8" w:type="even"/>
          <w:type w:val="continuous"/>
          <w:pgSz w:w="11910" w:h="16840"/>
          <w:pgMar w:top="1580" w:right="1680" w:bottom="280" w:left="1680" w:header="720" w:footer="720" w:gutter="0"/>
          <w:pgNumType w:fmt="decimal"/>
          <w:cols w:space="720" w:num="1"/>
        </w:sectPr>
      </w:pPr>
    </w:p>
    <w:sdt>
      <w:sdtPr>
        <w:rPr>
          <w:rFonts w:hint="eastAsia" w:ascii="黑体" w:hAnsi="黑体" w:eastAsia="黑体" w:cs="黑体"/>
          <w:kern w:val="2"/>
          <w:sz w:val="40"/>
          <w:szCs w:val="36"/>
          <w:highlight w:val="none"/>
          <w:lang w:val="zh-CN" w:eastAsia="zh-CN" w:bidi="ar-SA"/>
        </w:rPr>
        <w:id w:val="147472792"/>
        <w15:color w:val="DBDBDB"/>
        <w:docPartObj>
          <w:docPartGallery w:val="Table of Contents"/>
          <w:docPartUnique/>
        </w:docPartObj>
      </w:sdtPr>
      <w:sdtEndPr>
        <w:rPr>
          <w:rFonts w:hint="eastAsia" w:ascii="黑体" w:hAnsi="黑体" w:eastAsia="黑体" w:cs="黑体"/>
          <w:color w:val="auto"/>
          <w:kern w:val="2"/>
          <w:sz w:val="33"/>
          <w:szCs w:val="44"/>
          <w:highlight w:val="none"/>
          <w:lang w:val="zh-CN" w:eastAsia="zh-CN" w:bidi="zh-CN"/>
        </w:rPr>
      </w:sdtEndPr>
      <w:sdtContent>
        <w:p w14:paraId="49F9450A">
          <w:pPr>
            <w:pStyle w:val="9"/>
            <w:keepNext w:val="0"/>
            <w:keepLines w:val="0"/>
            <w:pageBreakBefore w:val="0"/>
            <w:widowControl w:val="0"/>
            <w:tabs>
              <w:tab w:val="right" w:leader="dot" w:pos="9710"/>
            </w:tabs>
            <w:kinsoku/>
            <w:wordWrap/>
            <w:overflowPunct/>
            <w:topLinePunct w:val="0"/>
            <w:autoSpaceDE/>
            <w:autoSpaceDN/>
            <w:bidi w:val="0"/>
            <w:adjustRightInd/>
            <w:snapToGrid/>
            <w:spacing w:before="0" w:after="0" w:line="560" w:lineRule="exact"/>
            <w:ind w:left="0" w:right="0"/>
            <w:jc w:val="center"/>
            <w:textAlignment w:val="auto"/>
            <w:rPr>
              <w:rFonts w:hint="eastAsia" w:ascii="黑体" w:hAnsi="黑体" w:eastAsia="黑体" w:cs="黑体"/>
              <w:kern w:val="2"/>
              <w:sz w:val="40"/>
              <w:szCs w:val="36"/>
              <w:highlight w:val="none"/>
              <w:lang w:val="en-US" w:eastAsia="zh-CN" w:bidi="ar-SA"/>
            </w:rPr>
          </w:pPr>
          <w:r>
            <w:rPr>
              <w:rFonts w:hint="eastAsia" w:ascii="黑体" w:hAnsi="黑体" w:eastAsia="黑体" w:cs="黑体"/>
              <w:kern w:val="2"/>
              <w:sz w:val="40"/>
              <w:szCs w:val="36"/>
              <w:highlight w:val="none"/>
              <w:lang w:val="en-US" w:eastAsia="zh-CN" w:bidi="ar-SA"/>
            </w:rPr>
            <w:t>目 录</w:t>
          </w:r>
        </w:p>
        <w:p w14:paraId="0D10BF44">
          <w:pPr>
            <w:pStyle w:val="9"/>
            <w:tabs>
              <w:tab w:val="right" w:leader="dot" w:pos="8849"/>
            </w:tabs>
          </w:pPr>
          <w:r>
            <w:rPr>
              <w:rFonts w:hint="eastAsia" w:ascii="黑体" w:hAnsi="黑体" w:eastAsia="黑体" w:cs="黑体"/>
              <w:kern w:val="2"/>
              <w:sz w:val="40"/>
              <w:szCs w:val="36"/>
              <w:highlight w:val="none"/>
              <w:lang w:val="en-US" w:bidi="ar-SA"/>
            </w:rPr>
            <w:fldChar w:fldCharType="begin"/>
          </w:r>
          <w:r>
            <w:rPr>
              <w:rFonts w:hint="eastAsia" w:ascii="黑体" w:hAnsi="黑体" w:eastAsia="黑体" w:cs="黑体"/>
              <w:kern w:val="2"/>
              <w:sz w:val="40"/>
              <w:szCs w:val="36"/>
              <w:highlight w:val="none"/>
              <w:lang w:val="en-US" w:bidi="ar-SA"/>
            </w:rPr>
            <w:instrText xml:space="preserve">TOC \o "1-2" \h \u </w:instrText>
          </w:r>
          <w:r>
            <w:rPr>
              <w:rFonts w:hint="eastAsia" w:ascii="黑体" w:hAnsi="黑体" w:eastAsia="黑体" w:cs="黑体"/>
              <w:kern w:val="2"/>
              <w:sz w:val="40"/>
              <w:szCs w:val="36"/>
              <w:highlight w:val="none"/>
              <w:lang w:val="en-US" w:bidi="ar-SA"/>
            </w:rPr>
            <w:fldChar w:fldCharType="separate"/>
          </w:r>
        </w:p>
        <w:p w14:paraId="3CED5F84">
          <w:pPr>
            <w:pStyle w:val="9"/>
            <w:tabs>
              <w:tab w:val="right" w:leader="dot" w:pos="8849"/>
            </w:tabs>
          </w:pPr>
          <w:r>
            <w:rPr>
              <w:rFonts w:hint="eastAsia" w:ascii="黑体" w:hAnsi="黑体" w:eastAsia="黑体" w:cs="黑体"/>
              <w:kern w:val="2"/>
              <w:szCs w:val="36"/>
              <w:highlight w:val="none"/>
              <w:lang w:val="en-US" w:bidi="ar-SA"/>
            </w:rPr>
            <w:fldChar w:fldCharType="begin"/>
          </w:r>
          <w:r>
            <w:rPr>
              <w:rFonts w:hint="eastAsia" w:ascii="黑体" w:hAnsi="黑体" w:eastAsia="黑体" w:cs="黑体"/>
              <w:kern w:val="2"/>
              <w:szCs w:val="36"/>
              <w:highlight w:val="none"/>
              <w:lang w:val="en-US" w:bidi="ar-SA"/>
            </w:rPr>
            <w:instrText xml:space="preserve"> HYPERLINK \l _Toc23596 </w:instrText>
          </w:r>
          <w:r>
            <w:rPr>
              <w:rFonts w:hint="eastAsia" w:ascii="黑体" w:hAnsi="黑体" w:eastAsia="黑体" w:cs="黑体"/>
              <w:kern w:val="2"/>
              <w:szCs w:val="36"/>
              <w:highlight w:val="none"/>
              <w:lang w:val="en-US" w:bidi="ar-SA"/>
            </w:rPr>
            <w:fldChar w:fldCharType="separate"/>
          </w:r>
          <w:r>
            <w:rPr>
              <w:rFonts w:hint="eastAsia" w:ascii="黑体" w:hAnsi="黑体" w:eastAsia="黑体" w:cs="黑体"/>
              <w:sz w:val="32"/>
              <w:szCs w:val="32"/>
            </w:rPr>
            <w:t>第一章 毕业生就业概况</w:t>
          </w:r>
          <w:r>
            <w:rPr>
              <w:sz w:val="32"/>
              <w:szCs w:val="32"/>
            </w:rPr>
            <w:tab/>
          </w:r>
          <w:r>
            <w:rPr>
              <w:rFonts w:hint="eastAsia" w:ascii="Times New Roman" w:hAnsi="Times New Roman" w:eastAsia="宋体" w:cs="Times New Roman"/>
              <w:kern w:val="2"/>
              <w:sz w:val="32"/>
              <w:szCs w:val="32"/>
              <w:lang w:val="en-US" w:eastAsia="zh-CN" w:bidi="ar-SA"/>
            </w:rPr>
            <w:t>2</w:t>
          </w:r>
          <w:r>
            <w:rPr>
              <w:rFonts w:hint="eastAsia" w:ascii="黑体" w:hAnsi="黑体" w:eastAsia="黑体" w:cs="黑体"/>
              <w:kern w:val="2"/>
              <w:szCs w:val="36"/>
              <w:highlight w:val="none"/>
              <w:lang w:val="en-US" w:bidi="ar-SA"/>
            </w:rPr>
            <w:fldChar w:fldCharType="end"/>
          </w:r>
        </w:p>
        <w:p w14:paraId="2D07FA5E">
          <w:pPr>
            <w:pStyle w:val="10"/>
            <w:tabs>
              <w:tab w:val="right" w:leader="dot" w:pos="8849"/>
            </w:tabs>
          </w:pPr>
          <w:r>
            <w:rPr>
              <w:rFonts w:hint="eastAsia" w:ascii="黑体" w:hAnsi="黑体" w:eastAsia="黑体" w:cs="黑体"/>
              <w:kern w:val="2"/>
              <w:szCs w:val="36"/>
              <w:highlight w:val="none"/>
              <w:lang w:val="en-US" w:bidi="ar-SA"/>
            </w:rPr>
            <w:fldChar w:fldCharType="begin"/>
          </w:r>
          <w:r>
            <w:rPr>
              <w:rFonts w:hint="eastAsia" w:ascii="黑体" w:hAnsi="黑体" w:eastAsia="黑体" w:cs="黑体"/>
              <w:kern w:val="2"/>
              <w:szCs w:val="36"/>
              <w:highlight w:val="none"/>
              <w:lang w:val="en-US" w:bidi="ar-SA"/>
            </w:rPr>
            <w:instrText xml:space="preserve"> HYPERLINK \l _Toc10134 </w:instrText>
          </w:r>
          <w:r>
            <w:rPr>
              <w:rFonts w:hint="eastAsia" w:ascii="黑体" w:hAnsi="黑体" w:eastAsia="黑体" w:cs="黑体"/>
              <w:kern w:val="2"/>
              <w:szCs w:val="36"/>
              <w:highlight w:val="none"/>
              <w:lang w:val="en-US" w:bidi="ar-SA"/>
            </w:rPr>
            <w:fldChar w:fldCharType="separate"/>
          </w:r>
          <w:r>
            <w:rPr>
              <w:rFonts w:hint="eastAsia" w:ascii="仿宋" w:hAnsi="仿宋" w:eastAsia="仿宋" w:cs="仿宋"/>
              <w:bCs w:val="0"/>
              <w:sz w:val="32"/>
              <w:szCs w:val="32"/>
              <w:lang w:eastAsia="zh-CN"/>
            </w:rPr>
            <w:t>一、202</w:t>
          </w:r>
          <w:r>
            <w:rPr>
              <w:rFonts w:hint="eastAsia" w:ascii="仿宋" w:hAnsi="仿宋" w:eastAsia="仿宋" w:cs="仿宋"/>
              <w:bCs w:val="0"/>
              <w:sz w:val="32"/>
              <w:szCs w:val="32"/>
              <w:lang w:val="en-US" w:eastAsia="zh-CN"/>
            </w:rPr>
            <w:t>4</w:t>
          </w:r>
          <w:r>
            <w:rPr>
              <w:rFonts w:hint="eastAsia" w:ascii="仿宋" w:hAnsi="仿宋" w:eastAsia="仿宋" w:cs="仿宋"/>
              <w:bCs w:val="0"/>
              <w:sz w:val="32"/>
              <w:szCs w:val="32"/>
              <w:lang w:eastAsia="zh-CN"/>
            </w:rPr>
            <w:t>届毕业生基本情况</w:t>
          </w:r>
          <w:r>
            <w:rPr>
              <w:rFonts w:hint="eastAsia" w:ascii="仿宋" w:hAnsi="仿宋" w:eastAsia="仿宋" w:cs="仿宋"/>
              <w:sz w:val="32"/>
              <w:szCs w:val="32"/>
            </w:rPr>
            <w:tab/>
          </w:r>
          <w:r>
            <w:rPr>
              <w:rFonts w:hint="eastAsia" w:ascii="Times New Roman" w:hAnsi="Times New Roman" w:eastAsia="宋体" w:cs="Times New Roman"/>
              <w:kern w:val="2"/>
              <w:sz w:val="32"/>
              <w:szCs w:val="32"/>
              <w:lang w:val="en-US" w:eastAsia="zh-CN" w:bidi="ar-SA"/>
            </w:rPr>
            <w:t>2</w:t>
          </w:r>
          <w:r>
            <w:rPr>
              <w:rFonts w:hint="eastAsia" w:ascii="黑体" w:hAnsi="黑体" w:eastAsia="黑体" w:cs="黑体"/>
              <w:kern w:val="2"/>
              <w:szCs w:val="36"/>
              <w:highlight w:val="none"/>
              <w:lang w:val="en-US" w:bidi="ar-SA"/>
            </w:rPr>
            <w:fldChar w:fldCharType="end"/>
          </w:r>
        </w:p>
        <w:p w14:paraId="230EE1AA">
          <w:pPr>
            <w:pStyle w:val="9"/>
            <w:tabs>
              <w:tab w:val="right" w:leader="dot" w:pos="8849"/>
            </w:tabs>
          </w:pPr>
          <w:r>
            <w:rPr>
              <w:rFonts w:hint="eastAsia" w:ascii="黑体" w:hAnsi="黑体" w:eastAsia="黑体" w:cs="黑体"/>
              <w:kern w:val="2"/>
              <w:szCs w:val="36"/>
              <w:highlight w:val="none"/>
              <w:lang w:val="en-US" w:bidi="ar-SA"/>
            </w:rPr>
            <w:fldChar w:fldCharType="begin"/>
          </w:r>
          <w:r>
            <w:rPr>
              <w:rFonts w:hint="eastAsia" w:ascii="黑体" w:hAnsi="黑体" w:eastAsia="黑体" w:cs="黑体"/>
              <w:kern w:val="2"/>
              <w:szCs w:val="36"/>
              <w:highlight w:val="none"/>
              <w:lang w:val="en-US" w:bidi="ar-SA"/>
            </w:rPr>
            <w:instrText xml:space="preserve"> HYPERLINK \l _Toc2041 </w:instrText>
          </w:r>
          <w:r>
            <w:rPr>
              <w:rFonts w:hint="eastAsia" w:ascii="黑体" w:hAnsi="黑体" w:eastAsia="黑体" w:cs="黑体"/>
              <w:kern w:val="2"/>
              <w:szCs w:val="36"/>
              <w:highlight w:val="none"/>
              <w:lang w:val="en-US" w:bidi="ar-SA"/>
            </w:rPr>
            <w:fldChar w:fldCharType="separate"/>
          </w:r>
          <w:r>
            <w:rPr>
              <w:rFonts w:hint="eastAsia" w:ascii="黑体" w:hAnsi="黑体" w:eastAsia="黑体" w:cs="黑体"/>
              <w:sz w:val="32"/>
              <w:szCs w:val="32"/>
              <w:lang w:val="en-US" w:eastAsia="zh-CN"/>
            </w:rPr>
            <w:t>第二章 就业去向与落实情况</w:t>
          </w:r>
          <w:r>
            <w:rPr>
              <w:rFonts w:hint="eastAsia" w:ascii="黑体" w:hAnsi="黑体" w:eastAsia="黑体" w:cs="黑体"/>
              <w:sz w:val="32"/>
              <w:szCs w:val="32"/>
            </w:rPr>
            <w:tab/>
          </w:r>
          <w:r>
            <w:rPr>
              <w:rFonts w:hint="eastAsia" w:ascii="Times New Roman" w:hAnsi="Times New Roman" w:eastAsia="宋体" w:cs="Times New Roman"/>
              <w:kern w:val="2"/>
              <w:sz w:val="32"/>
              <w:szCs w:val="32"/>
              <w:lang w:val="en-US" w:eastAsia="zh-CN" w:bidi="ar-SA"/>
            </w:rPr>
            <w:t>3</w:t>
          </w:r>
          <w:r>
            <w:rPr>
              <w:rFonts w:hint="eastAsia" w:ascii="黑体" w:hAnsi="黑体" w:eastAsia="黑体" w:cs="黑体"/>
              <w:kern w:val="2"/>
              <w:szCs w:val="36"/>
              <w:highlight w:val="none"/>
              <w:lang w:val="en-US" w:bidi="ar-SA"/>
            </w:rPr>
            <w:fldChar w:fldCharType="end"/>
          </w:r>
        </w:p>
        <w:p w14:paraId="18A06AB3">
          <w:pPr>
            <w:pStyle w:val="10"/>
            <w:tabs>
              <w:tab w:val="right" w:leader="dot" w:pos="8849"/>
            </w:tabs>
          </w:pPr>
          <w:r>
            <w:rPr>
              <w:rFonts w:hint="eastAsia" w:ascii="黑体" w:hAnsi="黑体" w:eastAsia="黑体" w:cs="黑体"/>
              <w:kern w:val="2"/>
              <w:szCs w:val="36"/>
              <w:highlight w:val="none"/>
              <w:lang w:val="en-US" w:bidi="ar-SA"/>
            </w:rPr>
            <w:fldChar w:fldCharType="begin"/>
          </w:r>
          <w:r>
            <w:rPr>
              <w:rFonts w:hint="eastAsia" w:ascii="黑体" w:hAnsi="黑体" w:eastAsia="黑体" w:cs="黑体"/>
              <w:kern w:val="2"/>
              <w:szCs w:val="36"/>
              <w:highlight w:val="none"/>
              <w:lang w:val="en-US" w:bidi="ar-SA"/>
            </w:rPr>
            <w:instrText xml:space="preserve"> HYPERLINK \l _Toc14620 </w:instrText>
          </w:r>
          <w:r>
            <w:rPr>
              <w:rFonts w:hint="eastAsia" w:ascii="黑体" w:hAnsi="黑体" w:eastAsia="黑体" w:cs="黑体"/>
              <w:kern w:val="2"/>
              <w:szCs w:val="36"/>
              <w:highlight w:val="none"/>
              <w:lang w:val="en-US" w:bidi="ar-SA"/>
            </w:rPr>
            <w:fldChar w:fldCharType="separate"/>
          </w:r>
          <w:r>
            <w:rPr>
              <w:rFonts w:hint="eastAsia" w:ascii="仿宋" w:hAnsi="仿宋" w:eastAsia="仿宋" w:cs="仿宋"/>
              <w:bCs w:val="0"/>
              <w:sz w:val="32"/>
              <w:szCs w:val="32"/>
              <w:lang w:val="en-US" w:eastAsia="zh-CN"/>
            </w:rPr>
            <w:t>一、</w:t>
          </w:r>
          <w:r>
            <w:rPr>
              <w:rFonts w:hint="eastAsia" w:ascii="仿宋" w:hAnsi="仿宋" w:eastAsia="仿宋" w:cs="仿宋"/>
              <w:bCs w:val="0"/>
              <w:sz w:val="32"/>
              <w:szCs w:val="32"/>
              <w:lang w:val="zh-CN" w:eastAsia="zh-CN"/>
            </w:rPr>
            <w:t>总体就业率及就业去向统计</w:t>
          </w:r>
          <w:r>
            <w:rPr>
              <w:rFonts w:hint="eastAsia" w:ascii="仿宋" w:hAnsi="仿宋" w:eastAsia="仿宋" w:cs="仿宋"/>
              <w:bCs w:val="0"/>
              <w:sz w:val="32"/>
              <w:szCs w:val="32"/>
              <w:lang w:eastAsia="zh-CN"/>
            </w:rPr>
            <w:tab/>
          </w:r>
          <w:r>
            <w:rPr>
              <w:rFonts w:hint="eastAsia" w:ascii="Times New Roman" w:hAnsi="Times New Roman" w:eastAsia="宋体" w:cs="Times New Roman"/>
              <w:kern w:val="2"/>
              <w:sz w:val="32"/>
              <w:szCs w:val="32"/>
              <w:lang w:val="en-US" w:eastAsia="zh-CN" w:bidi="ar-SA"/>
            </w:rPr>
            <w:t>3</w:t>
          </w:r>
          <w:r>
            <w:rPr>
              <w:rFonts w:hint="eastAsia" w:ascii="黑体" w:hAnsi="黑体" w:eastAsia="黑体" w:cs="黑体"/>
              <w:kern w:val="2"/>
              <w:szCs w:val="36"/>
              <w:highlight w:val="none"/>
              <w:lang w:val="en-US" w:bidi="ar-SA"/>
            </w:rPr>
            <w:fldChar w:fldCharType="end"/>
          </w:r>
        </w:p>
        <w:p w14:paraId="257146FD">
          <w:pPr>
            <w:pStyle w:val="10"/>
            <w:tabs>
              <w:tab w:val="right" w:leader="dot" w:pos="8849"/>
            </w:tabs>
          </w:pPr>
          <w:r>
            <w:rPr>
              <w:rFonts w:hint="eastAsia" w:ascii="黑体" w:hAnsi="黑体" w:eastAsia="黑体" w:cs="黑体"/>
              <w:kern w:val="2"/>
              <w:szCs w:val="36"/>
              <w:highlight w:val="none"/>
              <w:lang w:val="en-US" w:bidi="ar-SA"/>
            </w:rPr>
            <w:fldChar w:fldCharType="begin"/>
          </w:r>
          <w:r>
            <w:rPr>
              <w:rFonts w:hint="eastAsia" w:ascii="黑体" w:hAnsi="黑体" w:eastAsia="黑体" w:cs="黑体"/>
              <w:kern w:val="2"/>
              <w:szCs w:val="36"/>
              <w:highlight w:val="none"/>
              <w:lang w:val="en-US" w:bidi="ar-SA"/>
            </w:rPr>
            <w:instrText xml:space="preserve"> HYPERLINK \l _Toc8251 </w:instrText>
          </w:r>
          <w:r>
            <w:rPr>
              <w:rFonts w:hint="eastAsia" w:ascii="黑体" w:hAnsi="黑体" w:eastAsia="黑体" w:cs="黑体"/>
              <w:kern w:val="2"/>
              <w:szCs w:val="36"/>
              <w:highlight w:val="none"/>
              <w:lang w:val="en-US" w:bidi="ar-SA"/>
            </w:rPr>
            <w:fldChar w:fldCharType="separate"/>
          </w:r>
          <w:r>
            <w:rPr>
              <w:rFonts w:hint="eastAsia" w:ascii="仿宋" w:hAnsi="仿宋" w:eastAsia="仿宋" w:cs="仿宋"/>
              <w:bCs w:val="0"/>
              <w:sz w:val="32"/>
              <w:szCs w:val="32"/>
              <w:lang w:val="en-US" w:eastAsia="zh-CN"/>
            </w:rPr>
            <w:t>二、各专业就业情况对比</w:t>
          </w:r>
          <w:r>
            <w:rPr>
              <w:rFonts w:hint="eastAsia" w:ascii="仿宋" w:hAnsi="仿宋" w:eastAsia="仿宋" w:cs="仿宋"/>
              <w:bCs w:val="0"/>
              <w:sz w:val="32"/>
              <w:szCs w:val="32"/>
              <w:lang w:val="en-US" w:eastAsia="zh-CN"/>
            </w:rPr>
            <w:tab/>
          </w:r>
          <w:r>
            <w:rPr>
              <w:rFonts w:hint="eastAsia" w:ascii="Times New Roman" w:hAnsi="Times New Roman" w:eastAsia="宋体" w:cs="Times New Roman"/>
              <w:kern w:val="2"/>
              <w:sz w:val="32"/>
              <w:szCs w:val="32"/>
              <w:lang w:val="en-US" w:eastAsia="zh-CN" w:bidi="ar-SA"/>
            </w:rPr>
            <w:t>4</w:t>
          </w:r>
          <w:r>
            <w:rPr>
              <w:rFonts w:hint="eastAsia" w:ascii="黑体" w:hAnsi="黑体" w:eastAsia="黑体" w:cs="黑体"/>
              <w:kern w:val="2"/>
              <w:szCs w:val="36"/>
              <w:highlight w:val="none"/>
              <w:lang w:val="en-US" w:bidi="ar-SA"/>
            </w:rPr>
            <w:fldChar w:fldCharType="end"/>
          </w:r>
        </w:p>
        <w:p w14:paraId="1DA9B59D">
          <w:pPr>
            <w:pStyle w:val="9"/>
            <w:tabs>
              <w:tab w:val="right" w:leader="dot" w:pos="8849"/>
            </w:tabs>
          </w:pPr>
          <w:r>
            <w:rPr>
              <w:rFonts w:hint="eastAsia" w:ascii="黑体" w:hAnsi="黑体" w:eastAsia="黑体" w:cs="黑体"/>
              <w:kern w:val="2"/>
              <w:szCs w:val="36"/>
              <w:highlight w:val="none"/>
              <w:lang w:val="en-US" w:bidi="ar-SA"/>
            </w:rPr>
            <w:fldChar w:fldCharType="begin"/>
          </w:r>
          <w:r>
            <w:rPr>
              <w:rFonts w:hint="eastAsia" w:ascii="黑体" w:hAnsi="黑体" w:eastAsia="黑体" w:cs="黑体"/>
              <w:kern w:val="2"/>
              <w:szCs w:val="36"/>
              <w:highlight w:val="none"/>
              <w:lang w:val="en-US" w:bidi="ar-SA"/>
            </w:rPr>
            <w:instrText xml:space="preserve"> HYPERLINK \l _Toc26361 </w:instrText>
          </w:r>
          <w:r>
            <w:rPr>
              <w:rFonts w:hint="eastAsia" w:ascii="黑体" w:hAnsi="黑体" w:eastAsia="黑体" w:cs="黑体"/>
              <w:kern w:val="2"/>
              <w:szCs w:val="36"/>
              <w:highlight w:val="none"/>
              <w:lang w:val="en-US" w:bidi="ar-SA"/>
            </w:rPr>
            <w:fldChar w:fldCharType="separate"/>
          </w:r>
          <w:r>
            <w:rPr>
              <w:rFonts w:hint="eastAsia" w:ascii="黑体" w:hAnsi="黑体" w:eastAsia="黑体" w:cs="黑体"/>
              <w:sz w:val="32"/>
              <w:szCs w:val="32"/>
              <w:lang w:val="en-US" w:eastAsia="zh-CN"/>
            </w:rPr>
            <w:t xml:space="preserve">第三章 </w:t>
          </w:r>
          <w:r>
            <w:rPr>
              <w:rFonts w:hint="eastAsia" w:ascii="黑体" w:hAnsi="黑体" w:eastAsia="黑体" w:cs="黑体"/>
              <w:sz w:val="32"/>
              <w:szCs w:val="32"/>
              <w:lang w:val="zh-CN" w:eastAsia="zh-CN"/>
            </w:rPr>
            <w:t>就业</w:t>
          </w:r>
          <w:r>
            <w:rPr>
              <w:rFonts w:hint="eastAsia" w:ascii="黑体" w:hAnsi="黑体" w:eastAsia="黑体" w:cs="黑体"/>
              <w:sz w:val="32"/>
              <w:szCs w:val="32"/>
              <w:lang w:val="en-US" w:eastAsia="zh-CN"/>
            </w:rPr>
            <w:t>行业分布与地域分布</w:t>
          </w:r>
          <w:r>
            <w:rPr>
              <w:rFonts w:hint="eastAsia" w:ascii="黑体" w:hAnsi="黑体" w:eastAsia="黑体" w:cs="黑体"/>
              <w:sz w:val="32"/>
              <w:szCs w:val="32"/>
              <w:lang w:val="en-US" w:eastAsia="zh-CN"/>
            </w:rPr>
            <w:tab/>
          </w:r>
          <w:r>
            <w:rPr>
              <w:rFonts w:hint="eastAsia" w:ascii="Times New Roman" w:hAnsi="Times New Roman" w:eastAsia="宋体" w:cs="Times New Roman"/>
              <w:kern w:val="2"/>
              <w:sz w:val="32"/>
              <w:szCs w:val="32"/>
              <w:lang w:val="en-US" w:eastAsia="zh-CN" w:bidi="ar-SA"/>
            </w:rPr>
            <w:t>6</w:t>
          </w:r>
          <w:r>
            <w:rPr>
              <w:rFonts w:hint="eastAsia" w:ascii="黑体" w:hAnsi="黑体" w:eastAsia="黑体" w:cs="黑体"/>
              <w:kern w:val="2"/>
              <w:szCs w:val="36"/>
              <w:highlight w:val="none"/>
              <w:lang w:val="en-US" w:bidi="ar-SA"/>
            </w:rPr>
            <w:fldChar w:fldCharType="end"/>
          </w:r>
        </w:p>
        <w:p w14:paraId="6FF80BDF">
          <w:pPr>
            <w:pStyle w:val="10"/>
            <w:tabs>
              <w:tab w:val="right" w:leader="dot" w:pos="8849"/>
            </w:tabs>
            <w:rPr>
              <w:rFonts w:hint="eastAsia" w:ascii="仿宋" w:hAnsi="仿宋" w:eastAsia="仿宋" w:cs="仿宋"/>
              <w:bCs w:val="0"/>
              <w:sz w:val="32"/>
              <w:szCs w:val="32"/>
              <w:lang w:val="en-US" w:eastAsia="zh-CN"/>
            </w:rPr>
          </w:pPr>
          <w:r>
            <w:rPr>
              <w:rFonts w:hint="eastAsia" w:ascii="仿宋" w:hAnsi="仿宋" w:eastAsia="仿宋" w:cs="仿宋"/>
              <w:bCs w:val="0"/>
              <w:sz w:val="32"/>
              <w:szCs w:val="32"/>
              <w:lang w:val="en-US" w:eastAsia="zh-CN"/>
            </w:rPr>
            <w:fldChar w:fldCharType="begin"/>
          </w:r>
          <w:r>
            <w:rPr>
              <w:rFonts w:hint="eastAsia" w:ascii="仿宋" w:hAnsi="仿宋" w:eastAsia="仿宋" w:cs="仿宋"/>
              <w:bCs w:val="0"/>
              <w:sz w:val="32"/>
              <w:szCs w:val="32"/>
              <w:lang w:val="en-US" w:eastAsia="zh-CN"/>
            </w:rPr>
            <w:instrText xml:space="preserve"> HYPERLINK \l _Toc7008 </w:instrText>
          </w:r>
          <w:r>
            <w:rPr>
              <w:rFonts w:hint="eastAsia" w:ascii="仿宋" w:hAnsi="仿宋" w:eastAsia="仿宋" w:cs="仿宋"/>
              <w:bCs w:val="0"/>
              <w:sz w:val="32"/>
              <w:szCs w:val="32"/>
              <w:lang w:val="en-US" w:eastAsia="zh-CN"/>
            </w:rPr>
            <w:fldChar w:fldCharType="separate"/>
          </w:r>
          <w:r>
            <w:rPr>
              <w:rFonts w:hint="eastAsia" w:ascii="仿宋" w:hAnsi="仿宋" w:eastAsia="仿宋" w:cs="仿宋"/>
              <w:bCs w:val="0"/>
              <w:sz w:val="32"/>
              <w:szCs w:val="32"/>
              <w:lang w:val="en-US" w:eastAsia="zh-CN"/>
            </w:rPr>
            <w:t>一、就业行业分布特点</w:t>
          </w:r>
          <w:r>
            <w:rPr>
              <w:rFonts w:hint="eastAsia" w:ascii="仿宋" w:hAnsi="仿宋" w:eastAsia="仿宋" w:cs="仿宋"/>
              <w:bCs w:val="0"/>
              <w:sz w:val="32"/>
              <w:szCs w:val="32"/>
              <w:lang w:val="zh-CN" w:eastAsia="zh-CN"/>
            </w:rPr>
            <w:tab/>
          </w:r>
          <w:r>
            <w:rPr>
              <w:rFonts w:hint="eastAsia" w:ascii="Times New Roman" w:hAnsi="Times New Roman" w:eastAsia="宋体" w:cs="Times New Roman"/>
              <w:kern w:val="2"/>
              <w:sz w:val="32"/>
              <w:szCs w:val="32"/>
              <w:lang w:val="en-US" w:eastAsia="zh-CN" w:bidi="ar-SA"/>
            </w:rPr>
            <w:t>6</w:t>
          </w:r>
          <w:r>
            <w:rPr>
              <w:rFonts w:hint="eastAsia" w:ascii="仿宋" w:hAnsi="仿宋" w:eastAsia="仿宋" w:cs="仿宋"/>
              <w:bCs w:val="0"/>
              <w:sz w:val="32"/>
              <w:szCs w:val="32"/>
              <w:lang w:val="en-US" w:eastAsia="zh-CN"/>
            </w:rPr>
            <w:fldChar w:fldCharType="end"/>
          </w:r>
        </w:p>
        <w:p w14:paraId="4663C043">
          <w:pPr>
            <w:pStyle w:val="10"/>
            <w:tabs>
              <w:tab w:val="right" w:leader="dot" w:pos="8849"/>
            </w:tabs>
            <w:rPr>
              <w:rFonts w:hint="eastAsia" w:ascii="仿宋" w:hAnsi="仿宋" w:eastAsia="仿宋" w:cs="仿宋"/>
              <w:bCs w:val="0"/>
              <w:sz w:val="32"/>
              <w:szCs w:val="32"/>
              <w:lang w:val="en-US" w:eastAsia="zh-CN"/>
            </w:rPr>
          </w:pPr>
          <w:r>
            <w:rPr>
              <w:rFonts w:hint="eastAsia" w:ascii="仿宋" w:hAnsi="仿宋" w:eastAsia="仿宋" w:cs="仿宋"/>
              <w:bCs w:val="0"/>
              <w:sz w:val="32"/>
              <w:szCs w:val="32"/>
              <w:lang w:val="en-US" w:eastAsia="zh-CN"/>
            </w:rPr>
            <w:fldChar w:fldCharType="begin"/>
          </w:r>
          <w:r>
            <w:rPr>
              <w:rFonts w:hint="eastAsia" w:ascii="仿宋" w:hAnsi="仿宋" w:eastAsia="仿宋" w:cs="仿宋"/>
              <w:bCs w:val="0"/>
              <w:sz w:val="32"/>
              <w:szCs w:val="32"/>
              <w:lang w:val="en-US" w:eastAsia="zh-CN"/>
            </w:rPr>
            <w:instrText xml:space="preserve"> HYPERLINK \l _Toc11640 </w:instrText>
          </w:r>
          <w:r>
            <w:rPr>
              <w:rFonts w:hint="eastAsia" w:ascii="仿宋" w:hAnsi="仿宋" w:eastAsia="仿宋" w:cs="仿宋"/>
              <w:bCs w:val="0"/>
              <w:sz w:val="32"/>
              <w:szCs w:val="32"/>
              <w:lang w:val="en-US" w:eastAsia="zh-CN"/>
            </w:rPr>
            <w:fldChar w:fldCharType="separate"/>
          </w:r>
          <w:r>
            <w:rPr>
              <w:rFonts w:hint="eastAsia" w:ascii="仿宋" w:hAnsi="仿宋" w:eastAsia="仿宋" w:cs="仿宋"/>
              <w:bCs w:val="0"/>
              <w:sz w:val="32"/>
              <w:szCs w:val="32"/>
              <w:lang w:val="en-US" w:eastAsia="zh-CN"/>
            </w:rPr>
            <w:t>二、就业地域分布分析</w:t>
          </w:r>
          <w:r>
            <w:rPr>
              <w:rFonts w:hint="eastAsia" w:ascii="仿宋" w:hAnsi="仿宋" w:eastAsia="仿宋" w:cs="仿宋"/>
              <w:bCs w:val="0"/>
              <w:sz w:val="32"/>
              <w:szCs w:val="32"/>
              <w:lang w:val="en-US" w:eastAsia="zh-CN"/>
            </w:rPr>
            <w:tab/>
          </w:r>
          <w:r>
            <w:rPr>
              <w:rFonts w:hint="eastAsia" w:ascii="Times New Roman" w:hAnsi="Times New Roman" w:eastAsia="宋体" w:cs="Times New Roman"/>
              <w:kern w:val="2"/>
              <w:sz w:val="32"/>
              <w:szCs w:val="32"/>
              <w:lang w:val="en-US" w:eastAsia="zh-CN" w:bidi="ar-SA"/>
            </w:rPr>
            <w:t>7</w:t>
          </w:r>
          <w:r>
            <w:rPr>
              <w:rFonts w:hint="eastAsia" w:ascii="仿宋" w:hAnsi="仿宋" w:eastAsia="仿宋" w:cs="仿宋"/>
              <w:bCs w:val="0"/>
              <w:sz w:val="32"/>
              <w:szCs w:val="32"/>
              <w:lang w:val="en-US" w:eastAsia="zh-CN"/>
            </w:rPr>
            <w:fldChar w:fldCharType="end"/>
          </w:r>
        </w:p>
        <w:p w14:paraId="129C87F4">
          <w:pPr>
            <w:pStyle w:val="10"/>
            <w:tabs>
              <w:tab w:val="right" w:leader="dot" w:pos="8849"/>
            </w:tabs>
          </w:pPr>
          <w:r>
            <w:rPr>
              <w:rFonts w:hint="eastAsia" w:ascii="仿宋" w:hAnsi="仿宋" w:eastAsia="仿宋" w:cs="仿宋"/>
              <w:bCs w:val="0"/>
              <w:sz w:val="32"/>
              <w:szCs w:val="32"/>
              <w:lang w:val="en-US" w:eastAsia="zh-CN"/>
            </w:rPr>
            <w:fldChar w:fldCharType="begin"/>
          </w:r>
          <w:r>
            <w:rPr>
              <w:rFonts w:hint="eastAsia" w:ascii="仿宋" w:hAnsi="仿宋" w:eastAsia="仿宋" w:cs="仿宋"/>
              <w:bCs w:val="0"/>
              <w:sz w:val="32"/>
              <w:szCs w:val="32"/>
              <w:lang w:val="en-US" w:eastAsia="zh-CN"/>
            </w:rPr>
            <w:instrText xml:space="preserve"> HYPERLINK \l _Toc19893 </w:instrText>
          </w:r>
          <w:r>
            <w:rPr>
              <w:rFonts w:hint="eastAsia" w:ascii="仿宋" w:hAnsi="仿宋" w:eastAsia="仿宋" w:cs="仿宋"/>
              <w:bCs w:val="0"/>
              <w:sz w:val="32"/>
              <w:szCs w:val="32"/>
              <w:lang w:val="en-US" w:eastAsia="zh-CN"/>
            </w:rPr>
            <w:fldChar w:fldCharType="separate"/>
          </w:r>
          <w:r>
            <w:rPr>
              <w:rFonts w:hint="eastAsia" w:ascii="仿宋" w:hAnsi="仿宋" w:eastAsia="仿宋" w:cs="仿宋"/>
              <w:bCs w:val="0"/>
              <w:sz w:val="32"/>
              <w:szCs w:val="32"/>
              <w:lang w:val="en-US" w:eastAsia="zh-CN"/>
            </w:rPr>
            <w:t>三、重点地区就业</w:t>
          </w:r>
          <w:r>
            <w:rPr>
              <w:rFonts w:hint="eastAsia" w:ascii="仿宋" w:hAnsi="仿宋" w:eastAsia="仿宋" w:cs="仿宋"/>
              <w:bCs w:val="0"/>
              <w:sz w:val="32"/>
              <w:szCs w:val="32"/>
              <w:lang w:val="en-US" w:eastAsia="zh-CN"/>
            </w:rPr>
            <w:tab/>
          </w:r>
          <w:r>
            <w:rPr>
              <w:rFonts w:hint="eastAsia" w:ascii="Times New Roman" w:hAnsi="Times New Roman" w:eastAsia="宋体" w:cs="Times New Roman"/>
              <w:kern w:val="2"/>
              <w:sz w:val="32"/>
              <w:szCs w:val="32"/>
              <w:lang w:val="en-US" w:eastAsia="zh-CN" w:bidi="ar-SA"/>
            </w:rPr>
            <w:t>8</w:t>
          </w:r>
          <w:r>
            <w:rPr>
              <w:rFonts w:hint="eastAsia" w:ascii="仿宋" w:hAnsi="仿宋" w:eastAsia="仿宋" w:cs="仿宋"/>
              <w:bCs w:val="0"/>
              <w:sz w:val="32"/>
              <w:szCs w:val="32"/>
              <w:lang w:val="en-US" w:eastAsia="zh-CN"/>
            </w:rPr>
            <w:fldChar w:fldCharType="end"/>
          </w:r>
        </w:p>
        <w:p w14:paraId="54583796">
          <w:pPr>
            <w:pStyle w:val="9"/>
            <w:tabs>
              <w:tab w:val="right" w:leader="dot" w:pos="8849"/>
            </w:tabs>
          </w:pPr>
          <w:r>
            <w:rPr>
              <w:rFonts w:hint="eastAsia" w:ascii="黑体" w:hAnsi="黑体" w:eastAsia="黑体" w:cs="黑体"/>
              <w:kern w:val="2"/>
              <w:szCs w:val="36"/>
              <w:highlight w:val="none"/>
              <w:lang w:val="en-US" w:bidi="ar-SA"/>
            </w:rPr>
            <w:fldChar w:fldCharType="begin"/>
          </w:r>
          <w:r>
            <w:rPr>
              <w:rFonts w:hint="eastAsia" w:ascii="黑体" w:hAnsi="黑体" w:eastAsia="黑体" w:cs="黑体"/>
              <w:kern w:val="2"/>
              <w:szCs w:val="36"/>
              <w:highlight w:val="none"/>
              <w:lang w:val="en-US" w:bidi="ar-SA"/>
            </w:rPr>
            <w:instrText xml:space="preserve"> HYPERLINK \l _Toc31776 </w:instrText>
          </w:r>
          <w:r>
            <w:rPr>
              <w:rFonts w:hint="eastAsia" w:ascii="黑体" w:hAnsi="黑体" w:eastAsia="黑体" w:cs="黑体"/>
              <w:kern w:val="2"/>
              <w:szCs w:val="36"/>
              <w:highlight w:val="none"/>
              <w:lang w:val="en-US" w:bidi="ar-SA"/>
            </w:rPr>
            <w:fldChar w:fldCharType="separate"/>
          </w:r>
          <w:r>
            <w:rPr>
              <w:rFonts w:hint="eastAsia" w:ascii="黑体" w:hAnsi="黑体" w:eastAsia="黑体" w:cs="黑体"/>
              <w:sz w:val="32"/>
              <w:szCs w:val="32"/>
              <w:lang w:val="zh-CN" w:eastAsia="zh-CN"/>
            </w:rPr>
            <w:t>第</w:t>
          </w:r>
          <w:r>
            <w:rPr>
              <w:rFonts w:hint="eastAsia" w:ascii="黑体" w:hAnsi="黑体" w:eastAsia="黑体" w:cs="黑体"/>
              <w:sz w:val="32"/>
              <w:szCs w:val="32"/>
              <w:lang w:val="en-US" w:eastAsia="zh-CN"/>
            </w:rPr>
            <w:t>四</w:t>
          </w:r>
          <w:r>
            <w:rPr>
              <w:rFonts w:hint="eastAsia" w:ascii="黑体" w:hAnsi="黑体" w:eastAsia="黑体" w:cs="黑体"/>
              <w:sz w:val="32"/>
              <w:szCs w:val="32"/>
              <w:lang w:val="zh-CN" w:eastAsia="zh-CN"/>
            </w:rPr>
            <w:t>章 就业工作重点举措</w:t>
          </w:r>
          <w:r>
            <w:rPr>
              <w:rFonts w:hint="eastAsia" w:ascii="黑体" w:hAnsi="黑体" w:eastAsia="黑体" w:cs="黑体"/>
              <w:sz w:val="32"/>
              <w:szCs w:val="32"/>
              <w:lang w:val="en-US" w:eastAsia="zh-CN"/>
            </w:rPr>
            <w:tab/>
          </w:r>
          <w:r>
            <w:rPr>
              <w:rFonts w:hint="eastAsia" w:ascii="Times New Roman" w:hAnsi="Times New Roman" w:eastAsia="宋体" w:cs="Times New Roman"/>
              <w:kern w:val="2"/>
              <w:sz w:val="32"/>
              <w:szCs w:val="32"/>
              <w:lang w:val="en-US" w:eastAsia="zh-CN" w:bidi="ar-SA"/>
            </w:rPr>
            <w:t>9</w:t>
          </w:r>
          <w:r>
            <w:rPr>
              <w:rFonts w:hint="eastAsia" w:ascii="黑体" w:hAnsi="黑体" w:eastAsia="黑体" w:cs="黑体"/>
              <w:kern w:val="2"/>
              <w:szCs w:val="36"/>
              <w:highlight w:val="none"/>
              <w:lang w:val="en-US" w:bidi="ar-SA"/>
            </w:rPr>
            <w:fldChar w:fldCharType="end"/>
          </w:r>
        </w:p>
        <w:p w14:paraId="698D4EC1">
          <w:pPr>
            <w:pStyle w:val="10"/>
            <w:tabs>
              <w:tab w:val="right" w:leader="dot" w:pos="8849"/>
            </w:tabs>
            <w:rPr>
              <w:rFonts w:hint="eastAsia" w:ascii="仿宋" w:hAnsi="仿宋" w:eastAsia="仿宋" w:cs="仿宋"/>
              <w:bCs w:val="0"/>
              <w:sz w:val="32"/>
              <w:szCs w:val="32"/>
              <w:lang w:val="en-US" w:eastAsia="zh-CN"/>
            </w:rPr>
          </w:pPr>
          <w:r>
            <w:rPr>
              <w:rFonts w:hint="eastAsia" w:ascii="仿宋" w:hAnsi="仿宋" w:eastAsia="仿宋" w:cs="仿宋"/>
              <w:bCs w:val="0"/>
              <w:sz w:val="32"/>
              <w:szCs w:val="32"/>
              <w:lang w:val="en-US" w:eastAsia="zh-CN"/>
            </w:rPr>
            <w:fldChar w:fldCharType="begin"/>
          </w:r>
          <w:r>
            <w:rPr>
              <w:rFonts w:hint="eastAsia" w:ascii="仿宋" w:hAnsi="仿宋" w:eastAsia="仿宋" w:cs="仿宋"/>
              <w:bCs w:val="0"/>
              <w:sz w:val="32"/>
              <w:szCs w:val="32"/>
              <w:lang w:val="en-US" w:eastAsia="zh-CN"/>
            </w:rPr>
            <w:instrText xml:space="preserve"> HYPERLINK \l _Toc19306 </w:instrText>
          </w:r>
          <w:r>
            <w:rPr>
              <w:rFonts w:hint="eastAsia" w:ascii="仿宋" w:hAnsi="仿宋" w:eastAsia="仿宋" w:cs="仿宋"/>
              <w:bCs w:val="0"/>
              <w:sz w:val="32"/>
              <w:szCs w:val="32"/>
              <w:lang w:val="en-US" w:eastAsia="zh-CN"/>
            </w:rPr>
            <w:fldChar w:fldCharType="separate"/>
          </w:r>
          <w:r>
            <w:rPr>
              <w:rFonts w:hint="eastAsia" w:ascii="仿宋" w:hAnsi="仿宋" w:eastAsia="仿宋" w:cs="仿宋"/>
              <w:bCs w:val="0"/>
              <w:sz w:val="32"/>
              <w:szCs w:val="32"/>
              <w:lang w:val="en-US" w:eastAsia="zh-CN"/>
            </w:rPr>
            <w:t>一、就业创业教育基础建设</w:t>
          </w:r>
          <w:r>
            <w:rPr>
              <w:rFonts w:hint="eastAsia" w:ascii="仿宋" w:hAnsi="仿宋" w:eastAsia="仿宋" w:cs="仿宋"/>
              <w:bCs w:val="0"/>
              <w:sz w:val="32"/>
              <w:szCs w:val="32"/>
              <w:lang w:val="en-US" w:eastAsia="zh-CN"/>
            </w:rPr>
            <w:tab/>
          </w:r>
          <w:r>
            <w:rPr>
              <w:rFonts w:hint="eastAsia" w:ascii="Times New Roman" w:hAnsi="Times New Roman" w:eastAsia="宋体" w:cs="Times New Roman"/>
              <w:kern w:val="2"/>
              <w:sz w:val="32"/>
              <w:szCs w:val="32"/>
              <w:lang w:val="en-US" w:eastAsia="zh-CN" w:bidi="ar-SA"/>
            </w:rPr>
            <w:t>9</w:t>
          </w:r>
          <w:r>
            <w:rPr>
              <w:rFonts w:hint="eastAsia" w:ascii="仿宋" w:hAnsi="仿宋" w:eastAsia="仿宋" w:cs="仿宋"/>
              <w:bCs w:val="0"/>
              <w:sz w:val="32"/>
              <w:szCs w:val="32"/>
              <w:lang w:val="en-US" w:eastAsia="zh-CN"/>
            </w:rPr>
            <w:fldChar w:fldCharType="end"/>
          </w:r>
        </w:p>
        <w:p w14:paraId="7BF2083F">
          <w:pPr>
            <w:pStyle w:val="10"/>
            <w:tabs>
              <w:tab w:val="right" w:leader="dot" w:pos="8849"/>
            </w:tabs>
            <w:rPr>
              <w:rFonts w:hint="default" w:ascii="仿宋" w:hAnsi="仿宋" w:eastAsia="仿宋" w:cs="仿宋"/>
              <w:bCs w:val="0"/>
              <w:sz w:val="32"/>
              <w:szCs w:val="32"/>
              <w:lang w:val="en-US" w:eastAsia="zh-CN"/>
            </w:rPr>
          </w:pPr>
          <w:r>
            <w:rPr>
              <w:rFonts w:hint="eastAsia" w:ascii="仿宋" w:hAnsi="仿宋" w:eastAsia="仿宋" w:cs="仿宋"/>
              <w:bCs w:val="0"/>
              <w:sz w:val="32"/>
              <w:szCs w:val="32"/>
              <w:lang w:val="en-US" w:eastAsia="zh-CN"/>
            </w:rPr>
            <w:fldChar w:fldCharType="begin"/>
          </w:r>
          <w:r>
            <w:rPr>
              <w:rFonts w:hint="eastAsia" w:ascii="仿宋" w:hAnsi="仿宋" w:eastAsia="仿宋" w:cs="仿宋"/>
              <w:bCs w:val="0"/>
              <w:sz w:val="32"/>
              <w:szCs w:val="32"/>
              <w:lang w:val="en-US" w:eastAsia="zh-CN"/>
            </w:rPr>
            <w:instrText xml:space="preserve"> HYPERLINK \l _Toc29063 </w:instrText>
          </w:r>
          <w:r>
            <w:rPr>
              <w:rFonts w:hint="eastAsia" w:ascii="仿宋" w:hAnsi="仿宋" w:eastAsia="仿宋" w:cs="仿宋"/>
              <w:bCs w:val="0"/>
              <w:sz w:val="32"/>
              <w:szCs w:val="32"/>
              <w:lang w:val="en-US" w:eastAsia="zh-CN"/>
            </w:rPr>
            <w:fldChar w:fldCharType="separate"/>
          </w:r>
          <w:r>
            <w:rPr>
              <w:rFonts w:hint="eastAsia" w:ascii="仿宋" w:hAnsi="仿宋" w:eastAsia="仿宋" w:cs="仿宋"/>
              <w:bCs w:val="0"/>
              <w:sz w:val="32"/>
              <w:szCs w:val="32"/>
              <w:lang w:val="en-US" w:eastAsia="zh-CN"/>
            </w:rPr>
            <w:t>二、搭建就业信息服务平台，宣传就业创业政策</w:t>
          </w:r>
          <w:r>
            <w:rPr>
              <w:rFonts w:hint="eastAsia" w:ascii="仿宋" w:hAnsi="仿宋" w:eastAsia="仿宋" w:cs="仿宋"/>
              <w:bCs w:val="0"/>
              <w:sz w:val="32"/>
              <w:szCs w:val="32"/>
              <w:lang w:val="en-US" w:eastAsia="zh-CN"/>
            </w:rPr>
            <w:tab/>
          </w:r>
          <w:r>
            <w:rPr>
              <w:rFonts w:hint="eastAsia" w:ascii="Times New Roman" w:hAnsi="Times New Roman" w:eastAsia="宋体" w:cs="Times New Roman"/>
              <w:kern w:val="2"/>
              <w:sz w:val="32"/>
              <w:szCs w:val="32"/>
              <w:lang w:val="en-US" w:eastAsia="zh-CN" w:bidi="ar-SA"/>
            </w:rPr>
            <w:t>1</w:t>
          </w:r>
          <w:r>
            <w:rPr>
              <w:rFonts w:hint="eastAsia" w:ascii="仿宋" w:hAnsi="仿宋" w:eastAsia="仿宋" w:cs="仿宋"/>
              <w:bCs w:val="0"/>
              <w:sz w:val="32"/>
              <w:szCs w:val="32"/>
              <w:lang w:val="en-US" w:eastAsia="zh-CN"/>
            </w:rPr>
            <w:fldChar w:fldCharType="end"/>
          </w:r>
          <w:r>
            <w:rPr>
              <w:rFonts w:hint="eastAsia" w:ascii="仿宋" w:hAnsi="仿宋" w:eastAsia="仿宋" w:cs="仿宋"/>
              <w:bCs w:val="0"/>
              <w:sz w:val="32"/>
              <w:szCs w:val="32"/>
              <w:lang w:val="en-US" w:eastAsia="zh-CN"/>
            </w:rPr>
            <w:t>0</w:t>
          </w:r>
        </w:p>
        <w:p w14:paraId="7518D709">
          <w:pPr>
            <w:pStyle w:val="10"/>
            <w:tabs>
              <w:tab w:val="right" w:leader="dot" w:pos="8849"/>
            </w:tabs>
            <w:rPr>
              <w:rFonts w:hint="default"/>
              <w:lang w:val="en-US"/>
            </w:rPr>
          </w:pPr>
          <w:r>
            <w:rPr>
              <w:rFonts w:hint="eastAsia" w:ascii="仿宋" w:hAnsi="仿宋" w:eastAsia="仿宋" w:cs="仿宋"/>
              <w:bCs w:val="0"/>
              <w:sz w:val="32"/>
              <w:szCs w:val="32"/>
              <w:lang w:val="en-US" w:eastAsia="zh-CN"/>
            </w:rPr>
            <w:fldChar w:fldCharType="begin"/>
          </w:r>
          <w:r>
            <w:rPr>
              <w:rFonts w:hint="eastAsia" w:ascii="仿宋" w:hAnsi="仿宋" w:eastAsia="仿宋" w:cs="仿宋"/>
              <w:bCs w:val="0"/>
              <w:sz w:val="32"/>
              <w:szCs w:val="32"/>
              <w:lang w:val="en-US" w:eastAsia="zh-CN"/>
            </w:rPr>
            <w:instrText xml:space="preserve"> HYPERLINK \l _Toc8983 </w:instrText>
          </w:r>
          <w:r>
            <w:rPr>
              <w:rFonts w:hint="eastAsia" w:ascii="仿宋" w:hAnsi="仿宋" w:eastAsia="仿宋" w:cs="仿宋"/>
              <w:bCs w:val="0"/>
              <w:sz w:val="32"/>
              <w:szCs w:val="32"/>
              <w:lang w:val="en-US" w:eastAsia="zh-CN"/>
            </w:rPr>
            <w:fldChar w:fldCharType="separate"/>
          </w:r>
          <w:r>
            <w:rPr>
              <w:rFonts w:hint="eastAsia" w:ascii="仿宋" w:hAnsi="仿宋" w:eastAsia="仿宋" w:cs="仿宋"/>
              <w:bCs w:val="0"/>
              <w:sz w:val="32"/>
              <w:szCs w:val="32"/>
              <w:lang w:val="en-US" w:eastAsia="zh-CN"/>
            </w:rPr>
            <w:t>三、深入访企拓岗、深研校企合作</w:t>
          </w:r>
          <w:r>
            <w:rPr>
              <w:rFonts w:hint="eastAsia" w:ascii="仿宋" w:hAnsi="仿宋" w:eastAsia="仿宋" w:cs="仿宋"/>
              <w:bCs w:val="0"/>
              <w:sz w:val="32"/>
              <w:szCs w:val="32"/>
              <w:lang w:val="en-US" w:eastAsia="zh-CN"/>
            </w:rPr>
            <w:tab/>
          </w:r>
          <w:r>
            <w:rPr>
              <w:rFonts w:hint="eastAsia" w:ascii="Times New Roman" w:hAnsi="Times New Roman" w:eastAsia="宋体" w:cs="Times New Roman"/>
              <w:kern w:val="2"/>
              <w:sz w:val="32"/>
              <w:szCs w:val="32"/>
              <w:lang w:val="en-US" w:eastAsia="zh-CN" w:bidi="ar-SA"/>
            </w:rPr>
            <w:t>1</w:t>
          </w:r>
          <w:r>
            <w:rPr>
              <w:rFonts w:hint="eastAsia" w:ascii="仿宋" w:hAnsi="仿宋" w:eastAsia="仿宋" w:cs="仿宋"/>
              <w:bCs w:val="0"/>
              <w:sz w:val="32"/>
              <w:szCs w:val="32"/>
              <w:lang w:val="en-US" w:eastAsia="zh-CN"/>
            </w:rPr>
            <w:fldChar w:fldCharType="end"/>
          </w:r>
          <w:r>
            <w:rPr>
              <w:rFonts w:hint="eastAsia" w:ascii="仿宋" w:hAnsi="仿宋" w:eastAsia="仿宋" w:cs="仿宋"/>
              <w:bCs w:val="0"/>
              <w:sz w:val="32"/>
              <w:szCs w:val="32"/>
              <w:lang w:val="en-US" w:eastAsia="zh-CN"/>
            </w:rPr>
            <w:t>4</w:t>
          </w:r>
        </w:p>
        <w:p w14:paraId="02149B73">
          <w:pPr>
            <w:pStyle w:val="9"/>
            <w:tabs>
              <w:tab w:val="right" w:leader="dot" w:pos="8849"/>
            </w:tabs>
            <w:rPr>
              <w:rFonts w:hint="eastAsia" w:eastAsia="黑体"/>
              <w:lang w:val="en-US" w:eastAsia="zh-CN"/>
            </w:rPr>
          </w:pPr>
          <w:r>
            <w:rPr>
              <w:rFonts w:hint="eastAsia" w:ascii="黑体" w:hAnsi="黑体" w:eastAsia="黑体" w:cs="黑体"/>
              <w:kern w:val="2"/>
              <w:szCs w:val="36"/>
              <w:highlight w:val="none"/>
              <w:lang w:val="en-US" w:bidi="ar-SA"/>
            </w:rPr>
            <w:fldChar w:fldCharType="begin"/>
          </w:r>
          <w:r>
            <w:rPr>
              <w:rFonts w:hint="eastAsia" w:ascii="黑体" w:hAnsi="黑体" w:eastAsia="黑体" w:cs="黑体"/>
              <w:kern w:val="2"/>
              <w:szCs w:val="36"/>
              <w:highlight w:val="none"/>
              <w:lang w:val="en-US" w:bidi="ar-SA"/>
            </w:rPr>
            <w:instrText xml:space="preserve"> HYPERLINK \l _Toc17819 </w:instrText>
          </w:r>
          <w:r>
            <w:rPr>
              <w:rFonts w:hint="eastAsia" w:ascii="黑体" w:hAnsi="黑体" w:eastAsia="黑体" w:cs="黑体"/>
              <w:kern w:val="2"/>
              <w:szCs w:val="36"/>
              <w:highlight w:val="none"/>
              <w:lang w:val="en-US" w:bidi="ar-SA"/>
            </w:rPr>
            <w:fldChar w:fldCharType="separate"/>
          </w:r>
          <w:r>
            <w:rPr>
              <w:rFonts w:hint="eastAsia" w:ascii="黑体" w:hAnsi="黑体" w:eastAsia="黑体" w:cs="黑体"/>
              <w:sz w:val="32"/>
              <w:szCs w:val="32"/>
              <w:lang w:val="zh-CN" w:eastAsia="zh-CN"/>
            </w:rPr>
            <w:t>第</w:t>
          </w:r>
          <w:r>
            <w:rPr>
              <w:rFonts w:hint="eastAsia" w:ascii="黑体" w:hAnsi="黑体" w:eastAsia="黑体" w:cs="黑体"/>
              <w:sz w:val="32"/>
              <w:szCs w:val="32"/>
              <w:lang w:val="en-US" w:eastAsia="zh-CN"/>
            </w:rPr>
            <w:t>五</w:t>
          </w:r>
          <w:r>
            <w:rPr>
              <w:rFonts w:hint="eastAsia" w:ascii="黑体" w:hAnsi="黑体" w:eastAsia="黑体" w:cs="黑体"/>
              <w:sz w:val="32"/>
              <w:szCs w:val="32"/>
              <w:lang w:val="zh-CN" w:eastAsia="zh-CN"/>
            </w:rPr>
            <w:t>章</w:t>
          </w:r>
          <w:r>
            <w:rPr>
              <w:rFonts w:hint="eastAsia" w:ascii="黑体" w:hAnsi="黑体" w:eastAsia="黑体" w:cs="黑体"/>
              <w:sz w:val="32"/>
              <w:szCs w:val="32"/>
              <w:lang w:val="en-US" w:eastAsia="zh-CN"/>
            </w:rPr>
            <w:t xml:space="preserve"> </w:t>
          </w:r>
          <w:r>
            <w:rPr>
              <w:rFonts w:hint="eastAsia" w:ascii="黑体" w:hAnsi="黑体" w:eastAsia="黑体" w:cs="黑体"/>
              <w:sz w:val="32"/>
              <w:szCs w:val="32"/>
              <w:lang w:val="zh-CN" w:eastAsia="zh-CN"/>
            </w:rPr>
            <w:t>就业形势分析与展望</w:t>
          </w:r>
          <w:r>
            <w:rPr>
              <w:rFonts w:hint="eastAsia" w:ascii="黑体" w:hAnsi="黑体" w:eastAsia="黑体" w:cs="黑体"/>
              <w:sz w:val="32"/>
              <w:szCs w:val="32"/>
              <w:lang w:val="zh-CN" w:eastAsia="zh-CN"/>
            </w:rPr>
            <w:tab/>
          </w:r>
          <w:r>
            <w:rPr>
              <w:rFonts w:hint="eastAsia" w:ascii="Times New Roman" w:hAnsi="Times New Roman" w:eastAsia="宋体" w:cs="Times New Roman"/>
              <w:kern w:val="2"/>
              <w:sz w:val="32"/>
              <w:szCs w:val="32"/>
              <w:lang w:val="en-US" w:eastAsia="zh-CN" w:bidi="ar-SA"/>
            </w:rPr>
            <w:t>1</w:t>
          </w:r>
          <w:r>
            <w:rPr>
              <w:rFonts w:hint="eastAsia" w:ascii="黑体" w:hAnsi="黑体" w:eastAsia="黑体" w:cs="黑体"/>
              <w:kern w:val="2"/>
              <w:szCs w:val="36"/>
              <w:highlight w:val="none"/>
              <w:lang w:val="en-US" w:bidi="ar-SA"/>
            </w:rPr>
            <w:fldChar w:fldCharType="end"/>
          </w:r>
          <w:r>
            <w:rPr>
              <w:rFonts w:hint="eastAsia" w:ascii="Times New Roman" w:hAnsi="Times New Roman" w:eastAsia="宋体" w:cs="Times New Roman"/>
              <w:kern w:val="2"/>
              <w:sz w:val="32"/>
              <w:szCs w:val="32"/>
              <w:lang w:val="en-US" w:eastAsia="zh-CN" w:bidi="ar-SA"/>
            </w:rPr>
            <w:t>5</w:t>
          </w:r>
        </w:p>
        <w:p w14:paraId="1B979810">
          <w:pPr>
            <w:pStyle w:val="10"/>
            <w:tabs>
              <w:tab w:val="right" w:leader="dot" w:pos="8849"/>
            </w:tabs>
            <w:rPr>
              <w:rFonts w:hint="default" w:eastAsia="黑体"/>
              <w:lang w:val="en-US" w:eastAsia="zh-CN"/>
            </w:rPr>
          </w:pPr>
          <w:r>
            <w:rPr>
              <w:rFonts w:hint="eastAsia" w:ascii="黑体" w:hAnsi="黑体" w:eastAsia="黑体" w:cs="黑体"/>
              <w:kern w:val="2"/>
              <w:szCs w:val="36"/>
              <w:highlight w:val="none"/>
              <w:lang w:val="en-US" w:bidi="ar-SA"/>
            </w:rPr>
            <w:fldChar w:fldCharType="begin"/>
          </w:r>
          <w:r>
            <w:rPr>
              <w:rFonts w:hint="eastAsia" w:ascii="黑体" w:hAnsi="黑体" w:eastAsia="黑体" w:cs="黑体"/>
              <w:kern w:val="2"/>
              <w:szCs w:val="36"/>
              <w:highlight w:val="none"/>
              <w:lang w:val="en-US" w:bidi="ar-SA"/>
            </w:rPr>
            <w:instrText xml:space="preserve"> HYPERLINK \l _Toc5320 </w:instrText>
          </w:r>
          <w:r>
            <w:rPr>
              <w:rFonts w:hint="eastAsia" w:ascii="黑体" w:hAnsi="黑体" w:eastAsia="黑体" w:cs="黑体"/>
              <w:kern w:val="2"/>
              <w:szCs w:val="36"/>
              <w:highlight w:val="none"/>
              <w:lang w:val="en-US" w:bidi="ar-SA"/>
            </w:rPr>
            <w:fldChar w:fldCharType="separate"/>
          </w:r>
          <w:r>
            <w:rPr>
              <w:rFonts w:hint="eastAsia" w:ascii="仿宋" w:hAnsi="仿宋" w:eastAsia="仿宋" w:cs="仿宋"/>
              <w:bCs w:val="0"/>
              <w:sz w:val="32"/>
              <w:szCs w:val="32"/>
              <w:lang w:val="en-US" w:eastAsia="zh-CN"/>
            </w:rPr>
            <w:t>一、2024年就业市场整体形势</w:t>
          </w:r>
          <w:r>
            <w:rPr>
              <w:rFonts w:hint="eastAsia" w:ascii="仿宋" w:hAnsi="仿宋" w:eastAsia="仿宋" w:cs="仿宋"/>
              <w:bCs w:val="0"/>
              <w:sz w:val="32"/>
              <w:szCs w:val="32"/>
              <w:lang w:val="en-US" w:eastAsia="zh-CN"/>
            </w:rPr>
            <w:tab/>
          </w:r>
          <w:r>
            <w:rPr>
              <w:rFonts w:hint="eastAsia" w:ascii="黑体" w:hAnsi="黑体" w:eastAsia="黑体" w:cs="黑体"/>
              <w:kern w:val="2"/>
              <w:szCs w:val="36"/>
              <w:highlight w:val="none"/>
              <w:lang w:val="en-US" w:bidi="ar-SA"/>
            </w:rPr>
            <w:fldChar w:fldCharType="end"/>
          </w:r>
          <w:r>
            <w:rPr>
              <w:rFonts w:hint="eastAsia" w:ascii="Times New Roman" w:hAnsi="Times New Roman" w:eastAsia="宋体" w:cs="Times New Roman"/>
              <w:kern w:val="2"/>
              <w:sz w:val="32"/>
              <w:szCs w:val="32"/>
              <w:lang w:val="en-US" w:eastAsia="zh-CN" w:bidi="ar-SA"/>
            </w:rPr>
            <w:t>15</w:t>
          </w:r>
        </w:p>
        <w:p w14:paraId="630C59F5">
          <w:pPr>
            <w:pStyle w:val="9"/>
            <w:keepNext w:val="0"/>
            <w:keepLines w:val="0"/>
            <w:pageBreakBefore w:val="0"/>
            <w:widowControl w:val="0"/>
            <w:tabs>
              <w:tab w:val="right" w:leader="dot" w:pos="9710"/>
            </w:tabs>
            <w:kinsoku/>
            <w:wordWrap/>
            <w:overflowPunct/>
            <w:topLinePunct w:val="0"/>
            <w:autoSpaceDE/>
            <w:autoSpaceDN/>
            <w:bidi w:val="0"/>
            <w:adjustRightInd/>
            <w:snapToGrid/>
            <w:spacing w:before="0" w:after="0" w:line="560" w:lineRule="exact"/>
            <w:ind w:left="0" w:right="0"/>
            <w:jc w:val="center"/>
            <w:textAlignment w:val="auto"/>
            <w:rPr>
              <w:rFonts w:hint="eastAsia" w:ascii="黑体" w:hAnsi="黑体" w:eastAsia="黑体" w:cs="黑体"/>
              <w:color w:val="auto"/>
              <w:sz w:val="33"/>
              <w:szCs w:val="44"/>
              <w:lang w:val="zh-CN" w:eastAsia="zh-CN" w:bidi="zh-CN"/>
            </w:rPr>
          </w:pPr>
          <w:r>
            <w:rPr>
              <w:rFonts w:hint="eastAsia" w:ascii="黑体" w:hAnsi="黑体" w:eastAsia="黑体" w:cs="黑体"/>
              <w:kern w:val="2"/>
              <w:szCs w:val="36"/>
              <w:highlight w:val="none"/>
              <w:lang w:val="en-US" w:bidi="ar-SA"/>
            </w:rPr>
            <w:fldChar w:fldCharType="end"/>
          </w:r>
        </w:p>
      </w:sdtContent>
    </w:sdt>
    <w:p w14:paraId="0E3E8113">
      <w:pPr>
        <w:rPr>
          <w:rFonts w:hint="eastAsia"/>
        </w:rPr>
      </w:pPr>
    </w:p>
    <w:p w14:paraId="508BEBD4">
      <w:pPr>
        <w:rPr>
          <w:rFonts w:hint="eastAsia"/>
        </w:rPr>
      </w:pPr>
    </w:p>
    <w:p w14:paraId="05FF50F4">
      <w:pPr>
        <w:rPr>
          <w:rFonts w:hint="eastAsia"/>
        </w:rPr>
      </w:pPr>
    </w:p>
    <w:p w14:paraId="50005165">
      <w:pPr>
        <w:rPr>
          <w:rFonts w:hint="eastAsia"/>
        </w:rPr>
      </w:pPr>
    </w:p>
    <w:p w14:paraId="31044D98">
      <w:pPr>
        <w:rPr>
          <w:rFonts w:hint="eastAsia"/>
        </w:rPr>
      </w:pPr>
    </w:p>
    <w:p w14:paraId="30862B80">
      <w:pPr>
        <w:rPr>
          <w:rFonts w:hint="eastAsia"/>
        </w:rPr>
      </w:pPr>
    </w:p>
    <w:p w14:paraId="320BE181">
      <w:pPr>
        <w:rPr>
          <w:rFonts w:hint="eastAsia"/>
        </w:rPr>
      </w:pPr>
    </w:p>
    <w:p w14:paraId="13269E3B">
      <w:pPr>
        <w:rPr>
          <w:rFonts w:hint="eastAsia"/>
        </w:rPr>
      </w:pPr>
    </w:p>
    <w:p w14:paraId="07949EC9">
      <w:pPr>
        <w:rPr>
          <w:rFonts w:hint="eastAsia"/>
        </w:rPr>
      </w:pPr>
    </w:p>
    <w:p w14:paraId="45F1A492">
      <w:pPr>
        <w:rPr>
          <w:rFonts w:hint="eastAsia"/>
        </w:rPr>
      </w:pPr>
    </w:p>
    <w:p w14:paraId="7A46E1AE">
      <w:pPr>
        <w:pStyle w:val="2"/>
        <w:numPr>
          <w:ilvl w:val="0"/>
          <w:numId w:val="1"/>
        </w:numPr>
        <w:tabs>
          <w:tab w:val="left" w:pos="1326"/>
        </w:tabs>
        <w:spacing w:before="306"/>
        <w:ind w:left="1"/>
        <w:outlineLvl w:val="0"/>
        <w:rPr>
          <w:rFonts w:hint="eastAsia" w:ascii="黑体" w:hAnsi="黑体" w:eastAsia="黑体" w:cs="黑体"/>
          <w:color w:val="auto"/>
          <w:sz w:val="44"/>
          <w:szCs w:val="44"/>
        </w:rPr>
      </w:pPr>
      <w:bookmarkStart w:id="19" w:name="_Toc23596"/>
      <w:r>
        <w:rPr>
          <w:rFonts w:hint="eastAsia" w:ascii="黑体" w:hAnsi="黑体" w:eastAsia="黑体" w:cs="黑体"/>
          <w:color w:val="auto"/>
          <w:sz w:val="44"/>
          <w:szCs w:val="44"/>
        </w:rPr>
        <w:t>毕业生就业概况</w:t>
      </w:r>
      <w:bookmarkEnd w:id="19"/>
    </w:p>
    <w:p w14:paraId="3E83DCE0">
      <w:pPr>
        <w:keepNext w:val="0"/>
        <w:keepLines w:val="0"/>
        <w:pageBreakBefore w:val="0"/>
        <w:widowControl w:val="0"/>
        <w:kinsoku/>
        <w:wordWrap/>
        <w:overflowPunct/>
        <w:topLinePunct w:val="0"/>
        <w:autoSpaceDE/>
        <w:autoSpaceDN/>
        <w:bidi w:val="0"/>
        <w:adjustRightInd/>
        <w:snapToGrid/>
        <w:spacing w:before="0" w:beforeLines="50" w:after="0" w:afterLines="50" w:line="560" w:lineRule="exact"/>
        <w:ind w:right="0" w:rightChars="0" w:firstLine="640" w:firstLineChars="200"/>
        <w:jc w:val="left"/>
        <w:textAlignment w:val="auto"/>
        <w:outlineLvl w:val="1"/>
        <w:rPr>
          <w:rFonts w:hint="eastAsia" w:ascii="黑体" w:hAnsi="黑体" w:eastAsia="黑体" w:cs="黑体"/>
          <w:b w:val="0"/>
          <w:bCs w:val="0"/>
          <w:color w:val="auto"/>
          <w:sz w:val="32"/>
          <w:szCs w:val="32"/>
          <w:lang w:eastAsia="zh-CN"/>
        </w:rPr>
      </w:pPr>
      <w:bookmarkStart w:id="20" w:name="_Toc10134"/>
      <w:r>
        <w:rPr>
          <w:rFonts w:hint="eastAsia" w:ascii="黑体" w:hAnsi="黑体" w:eastAsia="黑体" w:cs="黑体"/>
          <w:b w:val="0"/>
          <w:bCs w:val="0"/>
          <w:color w:val="auto"/>
          <w:sz w:val="32"/>
          <w:szCs w:val="32"/>
          <w:lang w:eastAsia="zh-CN"/>
        </w:rPr>
        <mc:AlternateContent>
          <mc:Choice Requires="wps">
            <w:drawing>
              <wp:anchor distT="0" distB="0" distL="114300" distR="114300" simplePos="0" relativeHeight="251659264" behindDoc="1" locked="0" layoutInCell="1" allowOverlap="1">
                <wp:simplePos x="0" y="0"/>
                <wp:positionH relativeFrom="page">
                  <wp:posOffset>1754505</wp:posOffset>
                </wp:positionH>
                <wp:positionV relativeFrom="paragraph">
                  <wp:posOffset>332105</wp:posOffset>
                </wp:positionV>
                <wp:extent cx="37465" cy="34925"/>
                <wp:effectExtent l="4445" t="4445" r="19050" b="6350"/>
                <wp:wrapNone/>
                <wp:docPr id="20" name="任意多边形 2"/>
                <wp:cNvGraphicFramePr/>
                <a:graphic xmlns:a="http://schemas.openxmlformats.org/drawingml/2006/main">
                  <a:graphicData uri="http://schemas.microsoft.com/office/word/2010/wordprocessingShape">
                    <wps:wsp>
                      <wps:cNvSpPr/>
                      <wps:spPr>
                        <a:xfrm>
                          <a:off x="0" y="0"/>
                          <a:ext cx="37465" cy="34925"/>
                        </a:xfrm>
                        <a:custGeom>
                          <a:avLst/>
                          <a:gdLst/>
                          <a:ahLst/>
                          <a:cxnLst/>
                          <a:pathLst>
                            <a:path w="59" h="55">
                              <a:moveTo>
                                <a:pt x="37" y="39"/>
                              </a:moveTo>
                              <a:lnTo>
                                <a:pt x="41" y="49"/>
                              </a:lnTo>
                              <a:lnTo>
                                <a:pt x="45" y="54"/>
                              </a:lnTo>
                              <a:lnTo>
                                <a:pt x="49" y="54"/>
                              </a:lnTo>
                              <a:lnTo>
                                <a:pt x="50" y="54"/>
                              </a:lnTo>
                              <a:lnTo>
                                <a:pt x="52" y="53"/>
                              </a:lnTo>
                              <a:lnTo>
                                <a:pt x="55" y="51"/>
                              </a:lnTo>
                              <a:lnTo>
                                <a:pt x="58" y="49"/>
                              </a:lnTo>
                              <a:lnTo>
                                <a:pt x="58" y="45"/>
                              </a:lnTo>
                              <a:lnTo>
                                <a:pt x="58" y="39"/>
                              </a:lnTo>
                              <a:lnTo>
                                <a:pt x="1" y="0"/>
                              </a:lnTo>
                              <a:lnTo>
                                <a:pt x="0" y="2"/>
                              </a:lnTo>
                              <a:lnTo>
                                <a:pt x="13" y="11"/>
                              </a:lnTo>
                              <a:lnTo>
                                <a:pt x="23" y="20"/>
                              </a:lnTo>
                              <a:lnTo>
                                <a:pt x="31" y="29"/>
                              </a:lnTo>
                              <a:lnTo>
                                <a:pt x="37" y="39"/>
                              </a:lnTo>
                              <a:close/>
                            </a:path>
                          </a:pathLst>
                        </a:custGeom>
                        <a:noFill/>
                        <a:ln w="4331" cap="flat" cmpd="sng">
                          <a:solidFill>
                            <a:srgbClr val="231F20"/>
                          </a:solidFill>
                          <a:prstDash val="solid"/>
                          <a:headEnd type="none" w="med" len="med"/>
                          <a:tailEnd type="none" w="med" len="med"/>
                        </a:ln>
                      </wps:spPr>
                      <wps:bodyPr upright="1"/>
                    </wps:wsp>
                  </a:graphicData>
                </a:graphic>
              </wp:anchor>
            </w:drawing>
          </mc:Choice>
          <mc:Fallback>
            <w:pict>
              <v:shape id="任意多边形 2" o:spid="_x0000_s1026" o:spt="100" style="position:absolute;left:0pt;margin-left:138.15pt;margin-top:26.15pt;height:2.75pt;width:2.95pt;mso-position-horizontal-relative:page;z-index:-251657216;mso-width-relative:page;mso-height-relative:page;" filled="f" stroked="t" coordsize="59,55" o:gfxdata="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ii15k2QAAAAkBAAAPAAAAAAAAAAEAIAAAACIAAABkcnMv&#10;ZG93bnJldi54bWxQSwECFAAUAAAACACHTuJAslkWAa0CAAClBgAADgAAAAAAAAABACAAAAAoAQAA&#10;ZHJzL2Uyb0RvYy54bWxQSwUGAAAAAAYABgBZAQAARwYAAAAA&#10;" path="m37,39l41,49,45,54,49,54,50,54,52,53,55,51,58,49,58,45,58,39,1,0,0,2,13,11,23,20,31,29,37,39xe">
                <v:fill on="f" focussize="0,0"/>
                <v:stroke weight="0.341023622047244pt" color="#231F20" joinstyle="round"/>
                <v:imagedata o:title=""/>
                <o:lock v:ext="edit" aspectratio="f"/>
              </v:shape>
            </w:pict>
          </mc:Fallback>
        </mc:AlternateContent>
      </w:r>
      <w:r>
        <w:rPr>
          <w:rFonts w:hint="eastAsia" w:ascii="黑体" w:hAnsi="黑体" w:eastAsia="黑体" w:cs="黑体"/>
          <w:b w:val="0"/>
          <w:bCs w:val="0"/>
          <w:color w:val="auto"/>
          <w:sz w:val="32"/>
          <w:szCs w:val="32"/>
          <w:lang w:eastAsia="zh-CN"/>
        </w:rPr>
        <w:t>一</w:t>
      </w:r>
      <w:r>
        <w:rPr>
          <w:rFonts w:hint="eastAsia" w:ascii="黑体" w:hAnsi="黑体" w:eastAsia="黑体" w:cs="黑体"/>
          <w:b w:val="0"/>
          <w:bCs w:val="0"/>
          <w:color w:val="auto"/>
          <w:sz w:val="32"/>
          <w:szCs w:val="32"/>
          <w:lang w:val="en-US" w:eastAsia="zh-CN"/>
        </w:rPr>
        <w:t xml:space="preserve">  </w:t>
      </w:r>
      <w:r>
        <w:rPr>
          <w:rFonts w:hint="eastAsia" w:ascii="黑体" w:hAnsi="黑体" w:eastAsia="黑体" w:cs="黑体"/>
          <w:b w:val="0"/>
          <w:bCs w:val="0"/>
          <w:color w:val="auto"/>
          <w:sz w:val="32"/>
          <w:szCs w:val="32"/>
          <w:lang w:eastAsia="zh-CN"/>
        </w:rPr>
        <w:t>202</w:t>
      </w:r>
      <w:r>
        <w:rPr>
          <w:rFonts w:hint="eastAsia" w:ascii="黑体" w:hAnsi="黑体" w:eastAsia="黑体" w:cs="黑体"/>
          <w:b w:val="0"/>
          <w:bCs w:val="0"/>
          <w:color w:val="auto"/>
          <w:sz w:val="32"/>
          <w:szCs w:val="32"/>
          <w:lang w:val="en-US" w:eastAsia="zh-CN"/>
        </w:rPr>
        <w:t>4</w:t>
      </w:r>
      <w:r>
        <w:rPr>
          <w:rFonts w:hint="eastAsia" w:ascii="黑体" w:hAnsi="黑体" w:eastAsia="黑体" w:cs="黑体"/>
          <w:b w:val="0"/>
          <w:bCs w:val="0"/>
          <w:color w:val="auto"/>
          <w:sz w:val="32"/>
          <w:szCs w:val="32"/>
          <w:lang w:eastAsia="zh-CN"/>
        </w:rPr>
        <w:t>届毕业生基本情况</w:t>
      </w:r>
      <w:bookmarkEnd w:id="20"/>
    </w:p>
    <w:p w14:paraId="239AAB33">
      <w:pPr>
        <w:keepNext w:val="0"/>
        <w:keepLines w:val="0"/>
        <w:pageBreakBefore w:val="0"/>
        <w:widowControl w:val="0"/>
        <w:kinsoku/>
        <w:wordWrap/>
        <w:overflowPunct/>
        <w:topLinePunct w:val="0"/>
        <w:autoSpaceDE/>
        <w:autoSpaceDN/>
        <w:bidi w:val="0"/>
        <w:adjustRightInd/>
        <w:snapToGrid/>
        <w:spacing w:before="0" w:beforeLines="50" w:after="0" w:afterLines="50" w:line="560" w:lineRule="exact"/>
        <w:ind w:left="0" w:leftChars="0" w:right="0" w:rightChars="0" w:firstLine="602" w:firstLineChars="200"/>
        <w:jc w:val="left"/>
        <w:textAlignment w:val="auto"/>
        <w:outlineLvl w:val="2"/>
        <w:rPr>
          <w:rFonts w:hint="eastAsia" w:ascii="宋体" w:hAnsi="宋体" w:eastAsia="宋体" w:cs="宋体"/>
          <w:b/>
          <w:bCs/>
          <w:color w:val="auto"/>
          <w:sz w:val="30"/>
          <w:szCs w:val="30"/>
          <w:lang w:eastAsia="zh-CN"/>
        </w:rPr>
      </w:pPr>
      <w:r>
        <w:rPr>
          <w:rFonts w:hint="eastAsia" w:ascii="宋体" w:hAnsi="宋体" w:eastAsia="宋体" w:cs="宋体"/>
          <w:b/>
          <w:bCs/>
          <w:sz w:val="30"/>
          <w:szCs w:val="30"/>
          <w:lang w:eastAsia="zh-CN"/>
        </w:rPr>
        <w:t>（</w:t>
      </w:r>
      <w:r>
        <w:rPr>
          <w:rFonts w:hint="eastAsia" w:ascii="宋体" w:hAnsi="宋体" w:eastAsia="宋体" w:cs="宋体"/>
          <w:b/>
          <w:bCs/>
          <w:sz w:val="30"/>
          <w:szCs w:val="30"/>
          <w:lang w:val="en-US" w:eastAsia="zh-CN"/>
        </w:rPr>
        <w:t>一）毕业生规模与专业分布</w:t>
      </w:r>
    </w:p>
    <w:p w14:paraId="4DBB9491">
      <w:pPr>
        <w:pStyle w:val="21"/>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石家庄城市经济职业学院202</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届毕业生共</w:t>
      </w:r>
      <w:r>
        <w:rPr>
          <w:rFonts w:hint="eastAsia" w:ascii="仿宋" w:hAnsi="仿宋" w:eastAsia="仿宋" w:cs="仿宋"/>
          <w:color w:val="auto"/>
          <w:sz w:val="32"/>
          <w:szCs w:val="32"/>
          <w:lang w:val="en-US" w:eastAsia="zh-CN"/>
        </w:rPr>
        <w:t>2306</w:t>
      </w:r>
      <w:r>
        <w:rPr>
          <w:rFonts w:hint="eastAsia" w:ascii="仿宋" w:hAnsi="仿宋" w:eastAsia="仿宋" w:cs="仿宋"/>
          <w:color w:val="auto"/>
          <w:sz w:val="32"/>
          <w:szCs w:val="32"/>
          <w:lang w:eastAsia="zh-CN"/>
        </w:rPr>
        <w:t>人，学历层次为专科。</w:t>
      </w:r>
      <w:r>
        <w:rPr>
          <w:rFonts w:hint="eastAsia" w:ascii="仿宋" w:hAnsi="仿宋" w:eastAsia="仿宋" w:cs="仿宋"/>
          <w:color w:val="auto"/>
          <w:sz w:val="32"/>
          <w:szCs w:val="32"/>
          <w:lang w:val="en-US" w:eastAsia="zh-CN"/>
        </w:rPr>
        <w:t>健康医学院毕业生人数为527人，信息与工程学院1162人，经济管理学院616人。</w:t>
      </w:r>
      <w:r>
        <w:rPr>
          <w:rFonts w:hint="eastAsia" w:ascii="仿宋" w:hAnsi="仿宋" w:eastAsia="仿宋" w:cs="仿宋"/>
          <w:color w:val="auto"/>
          <w:sz w:val="32"/>
          <w:szCs w:val="32"/>
          <w:lang w:val="zh-CN" w:eastAsia="zh-CN"/>
        </w:rPr>
        <w:t>在专业分布方面，各专业的毕业生数量呈现出多样化的特点。例如，</w:t>
      </w:r>
      <w:r>
        <w:rPr>
          <w:rFonts w:hint="eastAsia" w:ascii="仿宋" w:hAnsi="仿宋" w:eastAsia="仿宋" w:cs="仿宋"/>
          <w:color w:val="auto"/>
          <w:sz w:val="32"/>
          <w:szCs w:val="32"/>
          <w:lang w:val="en-US" w:eastAsia="zh-CN"/>
        </w:rPr>
        <w:t>护理</w:t>
      </w:r>
      <w:r>
        <w:rPr>
          <w:rFonts w:hint="eastAsia" w:ascii="仿宋" w:hAnsi="仿宋" w:eastAsia="仿宋" w:cs="仿宋"/>
          <w:color w:val="auto"/>
          <w:sz w:val="32"/>
          <w:szCs w:val="32"/>
          <w:lang w:val="zh-CN" w:eastAsia="zh-CN"/>
        </w:rPr>
        <w:t xml:space="preserve">专业毕业生人数达到 </w:t>
      </w:r>
      <w:r>
        <w:rPr>
          <w:rFonts w:hint="eastAsia" w:ascii="仿宋" w:hAnsi="仿宋" w:eastAsia="仿宋" w:cs="仿宋"/>
          <w:color w:val="auto"/>
          <w:sz w:val="32"/>
          <w:szCs w:val="32"/>
          <w:lang w:val="en-US" w:eastAsia="zh-CN"/>
        </w:rPr>
        <w:t>296</w:t>
      </w:r>
      <w:r>
        <w:rPr>
          <w:rFonts w:hint="eastAsia" w:ascii="仿宋" w:hAnsi="仿宋" w:eastAsia="仿宋" w:cs="仿宋"/>
          <w:color w:val="auto"/>
          <w:sz w:val="32"/>
          <w:szCs w:val="32"/>
          <w:lang w:val="zh-CN" w:eastAsia="zh-CN"/>
        </w:rPr>
        <w:t>人，在所有专业中人数相对较多，该专业一直以来在学校的学科建设中占据重要地位；</w:t>
      </w:r>
      <w:r>
        <w:rPr>
          <w:rFonts w:hint="eastAsia" w:ascii="仿宋" w:hAnsi="仿宋" w:eastAsia="仿宋" w:cs="仿宋"/>
          <w:color w:val="auto"/>
          <w:sz w:val="32"/>
          <w:szCs w:val="32"/>
          <w:lang w:val="en-US" w:eastAsia="zh-CN"/>
        </w:rPr>
        <w:t>计算机应用技术</w:t>
      </w:r>
      <w:r>
        <w:rPr>
          <w:rFonts w:hint="eastAsia" w:ascii="仿宋" w:hAnsi="仿宋" w:eastAsia="仿宋" w:cs="仿宋"/>
          <w:color w:val="auto"/>
          <w:sz w:val="32"/>
          <w:szCs w:val="32"/>
          <w:lang w:val="zh-CN" w:eastAsia="zh-CN"/>
        </w:rPr>
        <w:t xml:space="preserve">专业毕业生有 </w:t>
      </w:r>
      <w:r>
        <w:rPr>
          <w:rFonts w:hint="eastAsia" w:ascii="仿宋" w:hAnsi="仿宋" w:eastAsia="仿宋" w:cs="仿宋"/>
          <w:color w:val="auto"/>
          <w:sz w:val="32"/>
          <w:szCs w:val="32"/>
          <w:lang w:val="en-US" w:eastAsia="zh-CN"/>
        </w:rPr>
        <w:t>244</w:t>
      </w:r>
      <w:r>
        <w:rPr>
          <w:rFonts w:hint="eastAsia" w:ascii="仿宋" w:hAnsi="仿宋" w:eastAsia="仿宋" w:cs="仿宋"/>
          <w:color w:val="auto"/>
          <w:sz w:val="32"/>
          <w:szCs w:val="32"/>
          <w:lang w:val="zh-CN" w:eastAsia="zh-CN"/>
        </w:rPr>
        <w:t>人，近年来该专业的报考热度也较高，培养方向侧重于软件开发与编程、网络系统管理、数据库设计与维护、多媒体技术应用、信息安全保障等</w:t>
      </w:r>
      <w:r>
        <w:rPr>
          <w:rFonts w:hint="eastAsia" w:ascii="仿宋" w:hAnsi="仿宋" w:eastAsia="仿宋" w:cs="仿宋"/>
          <w:color w:val="auto"/>
          <w:sz w:val="32"/>
          <w:szCs w:val="32"/>
          <w:lang w:val="en-US" w:eastAsia="zh-CN"/>
        </w:rPr>
        <w:t>方面。</w:t>
      </w:r>
    </w:p>
    <w:p w14:paraId="06681552">
      <w:pPr>
        <w:pStyle w:val="21"/>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val="en-US" w:eastAsia="zh-CN"/>
        </w:rPr>
      </w:pPr>
    </w:p>
    <w:p w14:paraId="2AD50F73">
      <w:pPr>
        <w:keepNext w:val="0"/>
        <w:keepLines w:val="0"/>
        <w:pageBreakBefore w:val="0"/>
        <w:widowControl w:val="0"/>
        <w:kinsoku/>
        <w:wordWrap/>
        <w:overflowPunct/>
        <w:topLinePunct w:val="0"/>
        <w:autoSpaceDE/>
        <w:autoSpaceDN/>
        <w:bidi w:val="0"/>
        <w:adjustRightInd/>
        <w:snapToGrid/>
        <w:spacing w:before="0" w:beforeLines="50" w:after="0" w:afterLines="50" w:line="560" w:lineRule="exact"/>
        <w:ind w:left="0" w:leftChars="0" w:right="0" w:rightChars="0" w:firstLine="602" w:firstLineChars="200"/>
        <w:jc w:val="left"/>
        <w:textAlignment w:val="auto"/>
        <w:outlineLvl w:val="2"/>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（二）毕业生生源地分布</w:t>
      </w:r>
    </w:p>
    <w:p w14:paraId="4DE48C3C">
      <w:pPr>
        <w:pStyle w:val="21"/>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val="zh-CN" w:eastAsia="zh-CN"/>
        </w:rPr>
      </w:pPr>
      <w:r>
        <w:rPr>
          <w:rFonts w:hint="eastAsia" w:ascii="仿宋" w:hAnsi="仿宋" w:eastAsia="仿宋" w:cs="仿宋"/>
          <w:color w:val="auto"/>
          <w:sz w:val="32"/>
          <w:szCs w:val="32"/>
          <w:lang w:val="zh-CN" w:eastAsia="zh-CN"/>
        </w:rPr>
        <w:t xml:space="preserve">2024 届毕业生生源地覆盖了全国多个省市地区，分布较为广泛。其中，来自 </w:t>
      </w:r>
      <w:r>
        <w:rPr>
          <w:rFonts w:hint="eastAsia" w:ascii="仿宋" w:hAnsi="仿宋" w:eastAsia="仿宋" w:cs="仿宋"/>
          <w:color w:val="auto"/>
          <w:sz w:val="32"/>
          <w:szCs w:val="32"/>
          <w:lang w:val="en-US" w:eastAsia="zh-CN"/>
        </w:rPr>
        <w:t>河北</w:t>
      </w:r>
      <w:r>
        <w:rPr>
          <w:rFonts w:hint="eastAsia" w:ascii="仿宋" w:hAnsi="仿宋" w:eastAsia="仿宋" w:cs="仿宋"/>
          <w:color w:val="auto"/>
          <w:sz w:val="32"/>
          <w:szCs w:val="32"/>
          <w:lang w:val="zh-CN" w:eastAsia="zh-CN"/>
        </w:rPr>
        <w:t xml:space="preserve">省的生源人数最多，达到 </w:t>
      </w:r>
      <w:r>
        <w:rPr>
          <w:rFonts w:hint="eastAsia" w:ascii="仿宋" w:hAnsi="仿宋" w:eastAsia="仿宋" w:cs="仿宋"/>
          <w:color w:val="auto"/>
          <w:sz w:val="32"/>
          <w:szCs w:val="32"/>
          <w:lang w:val="en-US" w:eastAsia="zh-CN"/>
        </w:rPr>
        <w:t>2206</w:t>
      </w:r>
      <w:r>
        <w:rPr>
          <w:rFonts w:hint="eastAsia" w:ascii="仿宋" w:hAnsi="仿宋" w:eastAsia="仿宋" w:cs="仿宋"/>
          <w:color w:val="auto"/>
          <w:sz w:val="32"/>
          <w:szCs w:val="32"/>
          <w:lang w:val="zh-CN" w:eastAsia="zh-CN"/>
        </w:rPr>
        <w:t xml:space="preserve">人，占 2024 届全体毕业生总数的 </w:t>
      </w:r>
      <w:r>
        <w:rPr>
          <w:rFonts w:hint="eastAsia" w:ascii="仿宋" w:hAnsi="仿宋" w:eastAsia="仿宋" w:cs="仿宋"/>
          <w:color w:val="auto"/>
          <w:sz w:val="32"/>
          <w:szCs w:val="32"/>
          <w:lang w:val="en-US" w:eastAsia="zh-CN"/>
        </w:rPr>
        <w:t>95.66</w:t>
      </w:r>
      <w:r>
        <w:rPr>
          <w:rFonts w:hint="eastAsia" w:ascii="仿宋" w:hAnsi="仿宋" w:eastAsia="仿宋" w:cs="仿宋"/>
          <w:color w:val="auto"/>
          <w:sz w:val="32"/>
          <w:szCs w:val="32"/>
          <w:lang w:val="zh-CN" w:eastAsia="zh-CN"/>
        </w:rPr>
        <w:t>%，这反映出学校在该地区的招生影响力以及当地对相关专业人才培养的需求和重视程度。</w:t>
      </w:r>
    </w:p>
    <w:p w14:paraId="032ECE59">
      <w:pPr>
        <w:pStyle w:val="21"/>
        <w:keepNext w:val="0"/>
        <w:keepLines w:val="0"/>
        <w:pageBreakBefore w:val="0"/>
        <w:kinsoku/>
        <w:wordWrap/>
        <w:overflowPunct/>
        <w:topLinePunct w:val="0"/>
        <w:bidi w:val="0"/>
        <w:adjustRightInd/>
        <w:snapToGrid/>
        <w:spacing w:line="560" w:lineRule="exact"/>
        <w:ind w:firstLine="560" w:firstLineChars="200"/>
        <w:textAlignment w:val="auto"/>
        <w:rPr>
          <w:rFonts w:hint="eastAsia" w:asciiTheme="minorEastAsia" w:hAnsiTheme="minorEastAsia" w:eastAsiaTheme="minorEastAsia" w:cstheme="minorEastAsia"/>
          <w:color w:val="auto"/>
          <w:sz w:val="28"/>
          <w:szCs w:val="28"/>
          <w:lang w:val="en-US" w:eastAsia="zh-CN" w:bidi="zh-CN"/>
        </w:rPr>
      </w:pPr>
    </w:p>
    <w:p w14:paraId="2E9D023D">
      <w:pPr>
        <w:pStyle w:val="3"/>
        <w:numPr>
          <w:ilvl w:val="0"/>
          <w:numId w:val="0"/>
        </w:numPr>
        <w:ind w:left="0" w:leftChars="0" w:right="0" w:rightChars="0" w:firstLine="880" w:firstLineChars="200"/>
        <w:jc w:val="center"/>
        <w:outlineLvl w:val="0"/>
        <w:rPr>
          <w:rFonts w:hint="eastAsia" w:ascii="黑体" w:hAnsi="黑体" w:eastAsia="黑体" w:cs="黑体"/>
          <w:color w:val="auto"/>
          <w:sz w:val="44"/>
          <w:szCs w:val="44"/>
          <w:lang w:val="en-US" w:eastAsia="zh-CN" w:bidi="zh-CN"/>
        </w:rPr>
      </w:pPr>
    </w:p>
    <w:p w14:paraId="68997FA5">
      <w:pPr>
        <w:pStyle w:val="3"/>
        <w:numPr>
          <w:ilvl w:val="0"/>
          <w:numId w:val="0"/>
        </w:numPr>
        <w:ind w:left="0" w:leftChars="0" w:right="0" w:rightChars="0" w:firstLine="880" w:firstLineChars="200"/>
        <w:jc w:val="center"/>
        <w:outlineLvl w:val="0"/>
        <w:rPr>
          <w:rFonts w:hint="default" w:ascii="黑体" w:hAnsi="黑体" w:eastAsia="黑体" w:cs="黑体"/>
          <w:color w:val="auto"/>
          <w:sz w:val="44"/>
          <w:szCs w:val="44"/>
          <w:lang w:val="en-US" w:eastAsia="zh-CN" w:bidi="zh-CN"/>
        </w:rPr>
      </w:pPr>
      <w:bookmarkStart w:id="21" w:name="_Toc2041"/>
      <w:r>
        <w:rPr>
          <w:rFonts w:hint="eastAsia" w:ascii="黑体" w:hAnsi="黑体" w:eastAsia="黑体" w:cs="黑体"/>
          <w:color w:val="auto"/>
          <w:sz w:val="44"/>
          <w:szCs w:val="44"/>
          <w:lang w:val="en-US" w:eastAsia="zh-CN" w:bidi="zh-CN"/>
        </w:rPr>
        <w:t>第二章 就业去向与落实情况</w:t>
      </w:r>
      <w:bookmarkEnd w:id="21"/>
    </w:p>
    <w:p w14:paraId="25B75489">
      <w:pPr>
        <w:keepNext w:val="0"/>
        <w:keepLines w:val="0"/>
        <w:pageBreakBefore w:val="0"/>
        <w:widowControl w:val="0"/>
        <w:kinsoku/>
        <w:wordWrap/>
        <w:overflowPunct/>
        <w:topLinePunct w:val="0"/>
        <w:autoSpaceDE/>
        <w:autoSpaceDN/>
        <w:bidi w:val="0"/>
        <w:adjustRightInd/>
        <w:snapToGrid/>
        <w:spacing w:before="0" w:beforeLines="50" w:after="0" w:afterLines="50" w:line="560" w:lineRule="exact"/>
        <w:ind w:right="0" w:rightChars="0" w:firstLine="640" w:firstLineChars="200"/>
        <w:jc w:val="left"/>
        <w:textAlignment w:val="auto"/>
        <w:outlineLvl w:val="1"/>
        <w:rPr>
          <w:rFonts w:hint="eastAsia" w:ascii="黑体" w:hAnsi="黑体" w:eastAsia="黑体" w:cs="黑体"/>
          <w:b w:val="0"/>
          <w:bCs w:val="0"/>
          <w:color w:val="auto"/>
          <w:sz w:val="32"/>
          <w:szCs w:val="32"/>
          <w:lang w:val="zh-CN" w:eastAsia="zh-CN"/>
        </w:rPr>
      </w:pPr>
      <w:bookmarkStart w:id="22" w:name="_Toc14620"/>
      <w:r>
        <w:rPr>
          <w:rFonts w:hint="eastAsia" w:ascii="黑体" w:hAnsi="黑体" w:eastAsia="黑体" w:cs="黑体"/>
          <w:b w:val="0"/>
          <w:bCs w:val="0"/>
          <w:color w:val="auto"/>
          <w:sz w:val="32"/>
          <w:szCs w:val="32"/>
          <w:lang w:val="en-US" w:eastAsia="zh-CN"/>
        </w:rPr>
        <w:t>一、</w:t>
      </w:r>
      <w:r>
        <w:rPr>
          <w:rFonts w:hint="eastAsia" w:ascii="黑体" w:hAnsi="黑体" w:eastAsia="黑体" w:cs="黑体"/>
          <w:b w:val="0"/>
          <w:bCs w:val="0"/>
          <w:color w:val="auto"/>
          <w:sz w:val="32"/>
          <w:szCs w:val="32"/>
          <w:lang w:val="zh-CN" w:eastAsia="zh-CN"/>
        </w:rPr>
        <w:t xml:space="preserve"> 总体就业率及就业去向统计</w:t>
      </w:r>
      <w:bookmarkEnd w:id="22"/>
    </w:p>
    <w:p w14:paraId="1ECD0613">
      <w:pPr>
        <w:pStyle w:val="21"/>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zh-CN" w:eastAsia="zh-CN"/>
        </w:rPr>
        <w:t xml:space="preserve">2024 届毕业生总体就业率为 </w:t>
      </w:r>
      <w:r>
        <w:rPr>
          <w:rFonts w:hint="eastAsia" w:ascii="仿宋" w:hAnsi="仿宋" w:eastAsia="仿宋" w:cs="仿宋"/>
          <w:color w:val="auto"/>
          <w:sz w:val="32"/>
          <w:szCs w:val="32"/>
          <w:lang w:val="en-US" w:eastAsia="zh-CN"/>
        </w:rPr>
        <w:t>84.61</w:t>
      </w:r>
      <w:r>
        <w:rPr>
          <w:rFonts w:hint="eastAsia" w:ascii="仿宋" w:hAnsi="仿宋" w:eastAsia="仿宋" w:cs="仿宋"/>
          <w:color w:val="auto"/>
          <w:sz w:val="32"/>
          <w:szCs w:val="32"/>
          <w:lang w:val="zh-CN" w:eastAsia="zh-CN"/>
        </w:rPr>
        <w:t>%，与往年相比呈现出上升的趋势。</w:t>
      </w:r>
      <w:r>
        <w:rPr>
          <w:rFonts w:hint="eastAsia" w:ascii="仿宋" w:hAnsi="仿宋" w:eastAsia="仿宋" w:cs="仿宋"/>
          <w:color w:val="auto"/>
          <w:sz w:val="32"/>
          <w:szCs w:val="32"/>
          <w:lang w:val="en-US" w:eastAsia="zh-CN"/>
        </w:rPr>
        <w:t>其中，健康医学院就业人数为453人，占学院总毕业人数的85.80%。经贸与管理学院就业518人，占比为84.09%。信息与工程学院就业980人，占比为84.61%。</w:t>
      </w:r>
    </w:p>
    <w:tbl>
      <w:tblPr>
        <w:tblStyle w:val="13"/>
        <w:tblW w:w="876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82"/>
      </w:tblGrid>
      <w:tr w14:paraId="1FD6A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trPr>
        <w:tc>
          <w:tcPr>
            <w:tcW w:w="8766" w:type="dxa"/>
          </w:tcPr>
          <w:p w14:paraId="0B4F5A3B">
            <w:pPr>
              <w:spacing w:before="0" w:line="309" w:lineRule="exact"/>
              <w:ind w:left="0" w:right="0" w:firstLine="0"/>
              <w:jc w:val="center"/>
              <w:rPr>
                <w:rFonts w:hint="default" w:asciiTheme="minorEastAsia" w:hAnsiTheme="minorEastAsia" w:eastAsiaTheme="minorEastAsia" w:cstheme="minorEastAsia"/>
                <w:color w:val="auto"/>
                <w:sz w:val="28"/>
                <w:szCs w:val="28"/>
                <w:vertAlign w:val="baseline"/>
                <w:lang w:val="en-US" w:eastAsia="zh-CN"/>
              </w:rPr>
            </w:pPr>
            <w:r>
              <w:rPr>
                <w:rFonts w:hint="eastAsia" w:ascii="宋体" w:hAnsi="宋体" w:eastAsia="宋体" w:cs="宋体"/>
                <w:color w:val="auto"/>
                <w:sz w:val="24"/>
                <w:szCs w:val="24"/>
                <w:lang w:val="en-US" w:eastAsia="zh-CN" w:bidi="zh-CN"/>
              </w:rPr>
              <w:t>表1 2024 届二级学院毕业生就业分布表</w:t>
            </w:r>
          </w:p>
        </w:tc>
      </w:tr>
      <w:tr w14:paraId="216E9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66" w:type="dxa"/>
          </w:tcPr>
          <w:tbl>
            <w:tblPr>
              <w:tblStyle w:val="12"/>
              <w:tblW w:w="876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91"/>
              <w:gridCol w:w="2191"/>
              <w:gridCol w:w="2192"/>
              <w:gridCol w:w="2192"/>
            </w:tblGrid>
            <w:tr w14:paraId="123FA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5B9BD5" w:fill="5B9BD5"/>
                  <w:noWrap/>
                  <w:vAlign w:val="center"/>
                </w:tcPr>
                <w:p w14:paraId="09538367">
                  <w:pPr>
                    <w:keepNext w:val="0"/>
                    <w:keepLines w:val="0"/>
                    <w:widowControl/>
                    <w:suppressLineNumbers w:val="0"/>
                    <w:jc w:val="left"/>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各院系落实率</w:t>
                  </w:r>
                </w:p>
              </w:tc>
              <w:tc>
                <w:tcPr>
                  <w:tcW w:w="1080" w:type="dxa"/>
                  <w:tcBorders>
                    <w:top w:val="single" w:color="000000" w:sz="4" w:space="0"/>
                    <w:left w:val="single" w:color="000000" w:sz="4" w:space="0"/>
                    <w:bottom w:val="single" w:color="000000" w:sz="4" w:space="0"/>
                    <w:right w:val="single" w:color="000000" w:sz="4" w:space="0"/>
                  </w:tcBorders>
                  <w:shd w:val="clear" w:color="5B9BD5" w:fill="5B9BD5"/>
                  <w:noWrap/>
                  <w:vAlign w:val="center"/>
                </w:tcPr>
                <w:p w14:paraId="66EE323F">
                  <w:pPr>
                    <w:keepNext w:val="0"/>
                    <w:keepLines w:val="0"/>
                    <w:widowControl/>
                    <w:suppressLineNumbers w:val="0"/>
                    <w:jc w:val="left"/>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专科毕业人数</w:t>
                  </w:r>
                </w:p>
              </w:tc>
              <w:tc>
                <w:tcPr>
                  <w:tcW w:w="1080" w:type="dxa"/>
                  <w:tcBorders>
                    <w:top w:val="single" w:color="000000" w:sz="4" w:space="0"/>
                    <w:left w:val="single" w:color="000000" w:sz="4" w:space="0"/>
                    <w:bottom w:val="single" w:color="000000" w:sz="4" w:space="0"/>
                    <w:right w:val="single" w:color="000000" w:sz="4" w:space="0"/>
                  </w:tcBorders>
                  <w:shd w:val="clear" w:color="5B9BD5" w:fill="5B9BD5"/>
                  <w:noWrap/>
                  <w:vAlign w:val="center"/>
                </w:tcPr>
                <w:p w14:paraId="42B8291D">
                  <w:pPr>
                    <w:keepNext w:val="0"/>
                    <w:keepLines w:val="0"/>
                    <w:widowControl/>
                    <w:suppressLineNumbers w:val="0"/>
                    <w:jc w:val="left"/>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专科落实人数</w:t>
                  </w:r>
                </w:p>
              </w:tc>
              <w:tc>
                <w:tcPr>
                  <w:tcW w:w="1080" w:type="dxa"/>
                  <w:tcBorders>
                    <w:top w:val="single" w:color="000000" w:sz="4" w:space="0"/>
                    <w:left w:val="single" w:color="000000" w:sz="4" w:space="0"/>
                    <w:bottom w:val="single" w:color="000000" w:sz="4" w:space="0"/>
                    <w:right w:val="single" w:color="000000" w:sz="4" w:space="0"/>
                  </w:tcBorders>
                  <w:shd w:val="clear" w:color="5B9BD5" w:fill="5B9BD5"/>
                  <w:noWrap/>
                  <w:vAlign w:val="center"/>
                </w:tcPr>
                <w:p w14:paraId="7C67B6B4">
                  <w:pPr>
                    <w:keepNext w:val="0"/>
                    <w:keepLines w:val="0"/>
                    <w:widowControl/>
                    <w:suppressLineNumbers w:val="0"/>
                    <w:jc w:val="left"/>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专科落实率</w:t>
                  </w:r>
                </w:p>
              </w:tc>
            </w:tr>
            <w:tr w14:paraId="5A74B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DDEBF7" w:fill="DDEBF7"/>
                  <w:noWrap/>
                  <w:vAlign w:val="center"/>
                </w:tcPr>
                <w:p w14:paraId="4D9AABF2">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健康医学院</w:t>
                  </w:r>
                </w:p>
              </w:tc>
              <w:tc>
                <w:tcPr>
                  <w:tcW w:w="1080" w:type="dxa"/>
                  <w:tcBorders>
                    <w:top w:val="single" w:color="000000" w:sz="4" w:space="0"/>
                    <w:left w:val="single" w:color="000000" w:sz="4" w:space="0"/>
                    <w:bottom w:val="single" w:color="000000" w:sz="4" w:space="0"/>
                    <w:right w:val="single" w:color="000000" w:sz="4" w:space="0"/>
                  </w:tcBorders>
                  <w:shd w:val="clear" w:color="DDEBF7" w:fill="DDEBF7"/>
                  <w:noWrap/>
                  <w:vAlign w:val="center"/>
                </w:tcPr>
                <w:p w14:paraId="44B0E9F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528</w:t>
                  </w:r>
                </w:p>
              </w:tc>
              <w:tc>
                <w:tcPr>
                  <w:tcW w:w="1080" w:type="dxa"/>
                  <w:tcBorders>
                    <w:top w:val="single" w:color="000000" w:sz="4" w:space="0"/>
                    <w:left w:val="single" w:color="000000" w:sz="4" w:space="0"/>
                    <w:bottom w:val="single" w:color="000000" w:sz="4" w:space="0"/>
                    <w:right w:val="single" w:color="000000" w:sz="4" w:space="0"/>
                  </w:tcBorders>
                  <w:shd w:val="clear" w:color="DDEBF7" w:fill="DDEBF7"/>
                  <w:noWrap/>
                  <w:vAlign w:val="center"/>
                </w:tcPr>
                <w:p w14:paraId="537D04F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453</w:t>
                  </w:r>
                </w:p>
              </w:tc>
              <w:tc>
                <w:tcPr>
                  <w:tcW w:w="1080" w:type="dxa"/>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08C9635A">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85.80%</w:t>
                  </w:r>
                </w:p>
              </w:tc>
            </w:tr>
            <w:tr w14:paraId="1A469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3DFEA">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经贸与管理学院</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0E5A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616</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45FE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518</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FFACD0">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84.09%</w:t>
                  </w:r>
                </w:p>
              </w:tc>
            </w:tr>
            <w:tr w14:paraId="542E4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DDEBF7" w:fill="DDEBF7"/>
                  <w:noWrap/>
                  <w:vAlign w:val="center"/>
                </w:tcPr>
                <w:p w14:paraId="1F1B8319">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信息与工程学院</w:t>
                  </w:r>
                </w:p>
              </w:tc>
              <w:tc>
                <w:tcPr>
                  <w:tcW w:w="1080" w:type="dxa"/>
                  <w:tcBorders>
                    <w:top w:val="single" w:color="000000" w:sz="4" w:space="0"/>
                    <w:left w:val="single" w:color="000000" w:sz="4" w:space="0"/>
                    <w:bottom w:val="single" w:color="000000" w:sz="4" w:space="0"/>
                    <w:right w:val="single" w:color="000000" w:sz="4" w:space="0"/>
                  </w:tcBorders>
                  <w:shd w:val="clear" w:color="DDEBF7" w:fill="DDEBF7"/>
                  <w:noWrap/>
                  <w:vAlign w:val="center"/>
                </w:tcPr>
                <w:p w14:paraId="60269D1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1162</w:t>
                  </w:r>
                </w:p>
              </w:tc>
              <w:tc>
                <w:tcPr>
                  <w:tcW w:w="1080" w:type="dxa"/>
                  <w:tcBorders>
                    <w:top w:val="single" w:color="000000" w:sz="4" w:space="0"/>
                    <w:left w:val="single" w:color="000000" w:sz="4" w:space="0"/>
                    <w:bottom w:val="single" w:color="000000" w:sz="4" w:space="0"/>
                    <w:right w:val="single" w:color="000000" w:sz="4" w:space="0"/>
                  </w:tcBorders>
                  <w:shd w:val="clear" w:color="DDEBF7" w:fill="DDEBF7"/>
                  <w:noWrap/>
                  <w:vAlign w:val="center"/>
                </w:tcPr>
                <w:p w14:paraId="23C76BB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980</w:t>
                  </w:r>
                </w:p>
              </w:tc>
              <w:tc>
                <w:tcPr>
                  <w:tcW w:w="1080" w:type="dxa"/>
                  <w:tcBorders>
                    <w:top w:val="single" w:color="000000" w:sz="4" w:space="0"/>
                    <w:left w:val="single" w:color="000000" w:sz="4" w:space="0"/>
                    <w:bottom w:val="single" w:color="000000" w:sz="4" w:space="0"/>
                    <w:right w:val="single" w:color="000000" w:sz="4" w:space="0"/>
                  </w:tcBorders>
                  <w:shd w:val="clear" w:color="DDEBF7" w:fill="DDEBF7"/>
                  <w:noWrap/>
                  <w:vAlign w:val="bottom"/>
                </w:tcPr>
                <w:p w14:paraId="14E747B8">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84.34%</w:t>
                  </w:r>
                </w:p>
              </w:tc>
            </w:tr>
            <w:tr w14:paraId="5F8B5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5817C">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合计</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B4AF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2306</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BF67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1951</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BA291E">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84.61%</w:t>
                  </w:r>
                </w:p>
              </w:tc>
            </w:tr>
          </w:tbl>
          <w:p w14:paraId="0B7D1DD3">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color w:val="auto"/>
                <w:sz w:val="28"/>
                <w:szCs w:val="28"/>
                <w:vertAlign w:val="baseline"/>
                <w:lang w:val="en-US" w:eastAsia="zh-CN"/>
              </w:rPr>
            </w:pPr>
          </w:p>
        </w:tc>
      </w:tr>
    </w:tbl>
    <w:p w14:paraId="2693BCB5">
      <w:pPr>
        <w:pStyle w:val="21"/>
        <w:rPr>
          <w:rFonts w:hint="eastAsia" w:asciiTheme="minorEastAsia" w:hAnsiTheme="minorEastAsia" w:eastAsiaTheme="minorEastAsia" w:cstheme="minorEastAsia"/>
          <w:color w:val="auto"/>
          <w:sz w:val="28"/>
          <w:szCs w:val="28"/>
          <w:lang w:val="zh-CN" w:eastAsia="zh-CN" w:bidi="zh-CN"/>
        </w:rPr>
      </w:pPr>
    </w:p>
    <w:p w14:paraId="37F45571">
      <w:pPr>
        <w:pStyle w:val="21"/>
        <w:ind w:firstLine="440" w:firstLineChars="200"/>
        <w:rPr>
          <w:rFonts w:hint="eastAsia" w:asciiTheme="minorEastAsia" w:hAnsiTheme="minorEastAsia" w:eastAsiaTheme="minorEastAsia" w:cstheme="minorEastAsia"/>
          <w:color w:val="auto"/>
          <w:sz w:val="28"/>
          <w:szCs w:val="28"/>
          <w:lang w:val="zh-CN" w:eastAsia="zh-CN" w:bidi="zh-CN"/>
        </w:rPr>
      </w:pPr>
      <w:r>
        <w:drawing>
          <wp:inline distT="0" distB="0" distL="114300" distR="114300">
            <wp:extent cx="4712970" cy="2672715"/>
            <wp:effectExtent l="4445" t="5080" r="6985" b="14605"/>
            <wp:docPr id="1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074EF9F">
      <w:pPr>
        <w:pStyle w:val="5"/>
        <w:jc w:val="center"/>
        <w:rPr>
          <w:rFonts w:hint="eastAsia" w:ascii="宋体" w:hAnsi="宋体" w:eastAsia="宋体" w:cs="宋体"/>
          <w:color w:val="auto"/>
          <w:sz w:val="24"/>
          <w:szCs w:val="24"/>
          <w:lang w:val="en-US" w:eastAsia="zh-CN" w:bidi="zh-CN"/>
        </w:rPr>
      </w:pPr>
      <w:r>
        <w:rPr>
          <w:rFonts w:hint="eastAsia" w:ascii="宋体" w:hAnsi="宋体" w:eastAsia="宋体" w:cs="宋体"/>
          <w:color w:val="auto"/>
          <w:sz w:val="24"/>
          <w:szCs w:val="24"/>
          <w:lang w:val="en-US" w:eastAsia="zh-CN" w:bidi="zh-CN"/>
        </w:rPr>
        <w:t>图1 近五年就业率变化趋势图</w:t>
      </w:r>
    </w:p>
    <w:p w14:paraId="6F06CA4C">
      <w:pPr>
        <w:pStyle w:val="21"/>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val="zh-CN" w:eastAsia="zh-CN"/>
        </w:rPr>
      </w:pPr>
      <w:r>
        <w:rPr>
          <w:rFonts w:hint="eastAsia" w:ascii="仿宋" w:hAnsi="仿宋" w:eastAsia="仿宋" w:cs="仿宋"/>
          <w:color w:val="auto"/>
          <w:sz w:val="32"/>
          <w:szCs w:val="32"/>
          <w:lang w:val="zh-CN" w:eastAsia="zh-CN"/>
        </w:rPr>
        <w:t>从就业去向来看，进入民营企业就业的毕业生占比</w:t>
      </w:r>
      <w:r>
        <w:rPr>
          <w:rFonts w:hint="eastAsia" w:ascii="仿宋" w:hAnsi="仿宋" w:eastAsia="仿宋" w:cs="仿宋"/>
          <w:color w:val="auto"/>
          <w:sz w:val="32"/>
          <w:szCs w:val="32"/>
          <w:lang w:val="en-US" w:eastAsia="zh-CN"/>
        </w:rPr>
        <w:t>98</w:t>
      </w:r>
      <w:r>
        <w:rPr>
          <w:rFonts w:hint="eastAsia" w:ascii="仿宋" w:hAnsi="仿宋" w:eastAsia="仿宋" w:cs="仿宋"/>
          <w:color w:val="auto"/>
          <w:sz w:val="32"/>
          <w:szCs w:val="32"/>
          <w:lang w:val="zh-CN" w:eastAsia="zh-CN"/>
        </w:rPr>
        <w:t>%，民营企业成为吸纳</w:t>
      </w:r>
      <w:r>
        <w:rPr>
          <w:rFonts w:hint="eastAsia" w:ascii="仿宋" w:hAnsi="仿宋" w:eastAsia="仿宋" w:cs="仿宋"/>
          <w:color w:val="auto"/>
          <w:sz w:val="32"/>
          <w:szCs w:val="32"/>
          <w:lang w:val="zh-CN" w:eastAsia="zh-CN" w:bidi="zh-CN"/>
        </w:rPr>
        <w:t>毕业生的重要力</w:t>
      </w:r>
      <w:r>
        <w:rPr>
          <w:rFonts w:hint="eastAsia" w:ascii="仿宋" w:hAnsi="仿宋" w:eastAsia="仿宋" w:cs="仿宋"/>
          <w:color w:val="auto"/>
          <w:sz w:val="32"/>
          <w:szCs w:val="32"/>
          <w:lang w:val="zh-CN" w:eastAsia="zh-CN"/>
        </w:rPr>
        <w:t>量。</w:t>
      </w:r>
      <w:r>
        <w:rPr>
          <w:rFonts w:hint="eastAsia" w:ascii="仿宋" w:hAnsi="仿宋" w:eastAsia="仿宋" w:cs="仿宋"/>
          <w:color w:val="auto"/>
          <w:sz w:val="32"/>
          <w:szCs w:val="32"/>
          <w:lang w:val="en-US" w:eastAsia="zh-CN"/>
        </w:rPr>
        <w:t>毕业生升学深造人数共45人，占毕业生总人数的1.95%，</w:t>
      </w:r>
      <w:r>
        <w:rPr>
          <w:rFonts w:hint="eastAsia" w:ascii="仿宋" w:hAnsi="仿宋" w:eastAsia="仿宋" w:cs="仿宋"/>
          <w:color w:val="auto"/>
          <w:sz w:val="32"/>
          <w:szCs w:val="32"/>
          <w:lang w:val="zh-CN" w:eastAsia="zh-CN"/>
        </w:rPr>
        <w:t>随着社会对高学历人才需求的增加，越来越多的毕业生选择继续提升自身竞争力，</w:t>
      </w:r>
      <w:r>
        <w:rPr>
          <w:rFonts w:hint="eastAsia" w:ascii="仿宋" w:hAnsi="仿宋" w:eastAsia="仿宋" w:cs="仿宋"/>
          <w:color w:val="auto"/>
          <w:sz w:val="32"/>
          <w:szCs w:val="32"/>
          <w:lang w:val="en-US" w:eastAsia="zh-CN"/>
        </w:rPr>
        <w:t>同时学校人才培养的质量和声誉进一步提升。</w:t>
      </w:r>
    </w:p>
    <w:p w14:paraId="1DA25170">
      <w:pPr>
        <w:pStyle w:val="5"/>
        <w:spacing w:before="59"/>
        <w:ind w:left="452" w:right="445" w:firstLine="403"/>
        <w:jc w:val="both"/>
        <w:rPr>
          <w:rFonts w:hint="eastAsia" w:eastAsia="宋体"/>
          <w:color w:val="auto"/>
          <w:lang w:val="en-US" w:eastAsia="zh-CN"/>
        </w:rPr>
      </w:pPr>
      <w:r>
        <w:rPr>
          <w:color w:val="auto"/>
        </w:rPr>
        <w:drawing>
          <wp:inline distT="0" distB="0" distL="114300" distR="114300">
            <wp:extent cx="4600575" cy="2606675"/>
            <wp:effectExtent l="0" t="0" r="9525" b="9525"/>
            <wp:docPr id="33" name="图片 1"/>
            <wp:cNvGraphicFramePr/>
            <a:graphic xmlns:a="http://schemas.openxmlformats.org/drawingml/2006/main">
              <a:graphicData uri="http://schemas.openxmlformats.org/drawingml/2006/picture">
                <pic:pic xmlns:pic="http://schemas.openxmlformats.org/drawingml/2006/picture">
                  <pic:nvPicPr>
                    <pic:cNvPr id="33" name="图片 1"/>
                    <pic:cNvPicPr/>
                  </pic:nvPicPr>
                  <pic:blipFill>
                    <a:blip r:embed="rId18"/>
                    <a:stretch>
                      <a:fillRect/>
                    </a:stretch>
                  </pic:blipFill>
                  <pic:spPr>
                    <a:xfrm>
                      <a:off x="0" y="0"/>
                      <a:ext cx="4600575" cy="2606675"/>
                    </a:xfrm>
                    <a:prstGeom prst="rect">
                      <a:avLst/>
                    </a:prstGeom>
                    <a:extLst>
                      <wpswe:webExtensionRef xmlns:wpswe="http://www.wps.cn/officeDocument/2018/webExtension" r:id="rId17"/>
                    </a:extLst>
                  </pic:spPr>
                </pic:pic>
              </a:graphicData>
            </a:graphic>
          </wp:inline>
        </w:drawing>
      </w:r>
    </w:p>
    <w:tbl>
      <w:tblPr>
        <w:tblStyle w:val="13"/>
        <w:tblpPr w:leftFromText="180" w:rightFromText="180" w:vertAnchor="text" w:horzAnchor="page" w:tblpX="2003" w:tblpY="85"/>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40"/>
      </w:tblGrid>
      <w:tr w14:paraId="44D2B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8440" w:type="dxa"/>
          </w:tcPr>
          <w:p w14:paraId="4406FF0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heme="minorEastAsia" w:hAnsiTheme="minorEastAsia" w:eastAsiaTheme="minorEastAsia" w:cstheme="minorEastAsia"/>
                <w:color w:val="auto"/>
                <w:sz w:val="28"/>
                <w:szCs w:val="28"/>
                <w:vertAlign w:val="baseline"/>
                <w:lang w:val="en-US" w:eastAsia="zh-CN"/>
              </w:rPr>
            </w:pPr>
            <w:r>
              <w:rPr>
                <w:rFonts w:hint="eastAsia" w:ascii="宋体" w:hAnsi="宋体" w:eastAsia="宋体" w:cs="宋体"/>
                <w:color w:val="auto"/>
                <w:sz w:val="24"/>
                <w:szCs w:val="24"/>
                <w:highlight w:val="none"/>
                <w:lang w:val="en-US" w:eastAsia="zh-CN" w:bidi="zh-CN"/>
              </w:rPr>
              <w:t>图2 毕业去向统计图</w:t>
            </w:r>
          </w:p>
        </w:tc>
      </w:tr>
    </w:tbl>
    <w:p w14:paraId="065E3475">
      <w:pPr>
        <w:pStyle w:val="21"/>
        <w:ind w:firstLine="560" w:firstLineChars="200"/>
        <w:rPr>
          <w:rFonts w:hint="eastAsia" w:asciiTheme="minorEastAsia" w:hAnsiTheme="minorEastAsia" w:eastAsiaTheme="minorEastAsia" w:cstheme="minorEastAsia"/>
          <w:color w:val="auto"/>
          <w:sz w:val="28"/>
          <w:szCs w:val="28"/>
          <w:lang w:val="zh-CN" w:eastAsia="zh-CN" w:bidi="zh-CN"/>
        </w:rPr>
      </w:pPr>
    </w:p>
    <w:p w14:paraId="236542F6">
      <w:pPr>
        <w:keepNext w:val="0"/>
        <w:keepLines w:val="0"/>
        <w:pageBreakBefore w:val="0"/>
        <w:widowControl w:val="0"/>
        <w:kinsoku/>
        <w:wordWrap/>
        <w:overflowPunct/>
        <w:topLinePunct w:val="0"/>
        <w:autoSpaceDE/>
        <w:autoSpaceDN/>
        <w:bidi w:val="0"/>
        <w:adjustRightInd/>
        <w:snapToGrid/>
        <w:spacing w:before="0" w:beforeLines="50" w:after="0" w:afterLines="50" w:line="560" w:lineRule="exact"/>
        <w:ind w:right="0" w:rightChars="0" w:firstLine="640" w:firstLineChars="200"/>
        <w:jc w:val="left"/>
        <w:textAlignment w:val="auto"/>
        <w:outlineLvl w:val="1"/>
        <w:rPr>
          <w:rFonts w:hint="eastAsia" w:ascii="黑体" w:hAnsi="黑体" w:eastAsia="黑体" w:cs="黑体"/>
          <w:b w:val="0"/>
          <w:bCs w:val="0"/>
          <w:color w:val="auto"/>
          <w:sz w:val="32"/>
          <w:szCs w:val="32"/>
          <w:lang w:val="en-US" w:eastAsia="zh-CN"/>
        </w:rPr>
      </w:pPr>
      <w:bookmarkStart w:id="23" w:name="_Toc8251"/>
      <w:r>
        <w:rPr>
          <w:rFonts w:hint="eastAsia" w:ascii="黑体" w:hAnsi="黑体" w:eastAsia="黑体" w:cs="黑体"/>
          <w:b w:val="0"/>
          <w:bCs w:val="0"/>
          <w:color w:val="auto"/>
          <w:sz w:val="32"/>
          <w:szCs w:val="32"/>
          <w:lang w:val="en-US" w:eastAsia="zh-CN"/>
        </w:rPr>
        <w:t>二、 各专业就业情况对比</w:t>
      </w:r>
      <w:bookmarkEnd w:id="23"/>
    </w:p>
    <w:p w14:paraId="747BEB92">
      <w:pPr>
        <w:pStyle w:val="21"/>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zh-CN" w:eastAsia="zh-CN"/>
        </w:rPr>
        <w:t>不同专业的毕业生在就业情况上存在一定差异。</w:t>
      </w:r>
      <w:r>
        <w:rPr>
          <w:rFonts w:hint="eastAsia" w:ascii="仿宋" w:hAnsi="仿宋" w:eastAsia="仿宋" w:cs="仿宋"/>
          <w:color w:val="auto"/>
          <w:sz w:val="32"/>
          <w:szCs w:val="32"/>
          <w:lang w:val="en-US" w:eastAsia="zh-CN"/>
        </w:rPr>
        <w:t>大部分专业就业率良好，具体各专业就业情况如下表：</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66"/>
      </w:tblGrid>
      <w:tr w14:paraId="5A1D3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trPr>
        <w:tc>
          <w:tcPr>
            <w:tcW w:w="8766" w:type="dxa"/>
          </w:tcPr>
          <w:p w14:paraId="2378E878">
            <w:pPr>
              <w:spacing w:before="0" w:line="309" w:lineRule="exact"/>
              <w:ind w:left="0" w:right="0" w:firstLine="0"/>
              <w:jc w:val="center"/>
              <w:rPr>
                <w:rFonts w:hint="default" w:asciiTheme="minorEastAsia" w:hAnsiTheme="minorEastAsia" w:eastAsiaTheme="minorEastAsia" w:cstheme="minorEastAsia"/>
                <w:color w:val="auto"/>
                <w:sz w:val="28"/>
                <w:szCs w:val="28"/>
                <w:vertAlign w:val="baseline"/>
                <w:lang w:val="en-US" w:eastAsia="zh-CN"/>
              </w:rPr>
            </w:pPr>
            <w:r>
              <w:rPr>
                <w:rFonts w:hint="eastAsia" w:ascii="宋体" w:hAnsi="宋体" w:eastAsia="宋体" w:cs="宋体"/>
                <w:color w:val="auto"/>
                <w:sz w:val="24"/>
                <w:szCs w:val="24"/>
                <w:lang w:val="en-US" w:eastAsia="zh-CN" w:bidi="zh-CN"/>
              </w:rPr>
              <w:t>表2 2024 届毕业生就业分布表</w:t>
            </w:r>
          </w:p>
        </w:tc>
      </w:tr>
      <w:tr w14:paraId="69308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66" w:type="dxa"/>
          </w:tcPr>
          <w:tbl>
            <w:tblPr>
              <w:tblStyle w:val="12"/>
              <w:tblW w:w="658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345"/>
              <w:gridCol w:w="1080"/>
              <w:gridCol w:w="1080"/>
              <w:gridCol w:w="1080"/>
            </w:tblGrid>
            <w:tr w14:paraId="16397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3345" w:type="dxa"/>
                  <w:tcBorders>
                    <w:top w:val="nil"/>
                    <w:left w:val="nil"/>
                    <w:bottom w:val="single" w:color="FFFFFF" w:sz="12" w:space="0"/>
                    <w:right w:val="single" w:color="FFFFFF" w:sz="4" w:space="0"/>
                  </w:tcBorders>
                  <w:shd w:val="clear" w:color="5B9BD5" w:fill="5B9BD5"/>
                  <w:noWrap/>
                  <w:vAlign w:val="center"/>
                </w:tcPr>
                <w:p w14:paraId="40126A99">
                  <w:pPr>
                    <w:keepNext w:val="0"/>
                    <w:keepLines w:val="0"/>
                    <w:widowControl/>
                    <w:suppressLineNumbers w:val="0"/>
                    <w:jc w:val="left"/>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各专业（小类）落实率</w:t>
                  </w:r>
                </w:p>
              </w:tc>
              <w:tc>
                <w:tcPr>
                  <w:tcW w:w="1080" w:type="dxa"/>
                  <w:tcBorders>
                    <w:top w:val="nil"/>
                    <w:left w:val="single" w:color="FFFFFF" w:sz="4" w:space="0"/>
                    <w:bottom w:val="single" w:color="FFFFFF" w:sz="12" w:space="0"/>
                    <w:right w:val="single" w:color="FFFFFF" w:sz="4" w:space="0"/>
                  </w:tcBorders>
                  <w:shd w:val="clear" w:color="5B9BD5" w:fill="5B9BD5"/>
                  <w:noWrap/>
                  <w:vAlign w:val="center"/>
                </w:tcPr>
                <w:p w14:paraId="56DCB20B">
                  <w:pPr>
                    <w:keepNext w:val="0"/>
                    <w:keepLines w:val="0"/>
                    <w:widowControl/>
                    <w:suppressLineNumbers w:val="0"/>
                    <w:jc w:val="left"/>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专科毕业人数</w:t>
                  </w:r>
                </w:p>
              </w:tc>
              <w:tc>
                <w:tcPr>
                  <w:tcW w:w="1080" w:type="dxa"/>
                  <w:tcBorders>
                    <w:top w:val="nil"/>
                    <w:left w:val="single" w:color="FFFFFF" w:sz="4" w:space="0"/>
                    <w:bottom w:val="single" w:color="FFFFFF" w:sz="12" w:space="0"/>
                    <w:right w:val="single" w:color="FFFFFF" w:sz="4" w:space="0"/>
                  </w:tcBorders>
                  <w:shd w:val="clear" w:color="5B9BD5" w:fill="5B9BD5"/>
                  <w:noWrap/>
                  <w:vAlign w:val="center"/>
                </w:tcPr>
                <w:p w14:paraId="45947CA9">
                  <w:pPr>
                    <w:keepNext w:val="0"/>
                    <w:keepLines w:val="0"/>
                    <w:widowControl/>
                    <w:suppressLineNumbers w:val="0"/>
                    <w:jc w:val="left"/>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专科落实人数</w:t>
                  </w:r>
                </w:p>
              </w:tc>
              <w:tc>
                <w:tcPr>
                  <w:tcW w:w="1080" w:type="dxa"/>
                  <w:tcBorders>
                    <w:top w:val="nil"/>
                    <w:left w:val="single" w:color="FFFFFF" w:sz="4" w:space="0"/>
                    <w:bottom w:val="single" w:color="FFFFFF" w:sz="12" w:space="0"/>
                    <w:right w:val="nil"/>
                  </w:tcBorders>
                  <w:shd w:val="clear" w:color="5B9BD5" w:fill="5B9BD5"/>
                  <w:noWrap/>
                  <w:vAlign w:val="center"/>
                </w:tcPr>
                <w:p w14:paraId="61366C44">
                  <w:pPr>
                    <w:keepNext w:val="0"/>
                    <w:keepLines w:val="0"/>
                    <w:widowControl/>
                    <w:suppressLineNumbers w:val="0"/>
                    <w:jc w:val="left"/>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专科落实率</w:t>
                  </w:r>
                </w:p>
              </w:tc>
            </w:tr>
            <w:tr w14:paraId="1929E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FFFFFF" w:sz="12" w:space="0"/>
                    <w:left w:val="nil"/>
                    <w:bottom w:val="single" w:color="FFFFFF" w:sz="4" w:space="0"/>
                    <w:right w:val="single" w:color="FFFFFF" w:sz="4" w:space="0"/>
                  </w:tcBorders>
                  <w:shd w:val="clear" w:color="BDD7EE" w:fill="BDD7EE"/>
                  <w:noWrap/>
                  <w:vAlign w:val="center"/>
                </w:tcPr>
                <w:p w14:paraId="41E42DB4">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民航运输服务</w:t>
                  </w:r>
                </w:p>
              </w:tc>
              <w:tc>
                <w:tcPr>
                  <w:tcW w:w="0" w:type="auto"/>
                  <w:tcBorders>
                    <w:top w:val="single" w:color="FFFFFF" w:sz="12" w:space="0"/>
                    <w:left w:val="single" w:color="FFFFFF" w:sz="4" w:space="0"/>
                    <w:bottom w:val="single" w:color="FFFFFF" w:sz="4" w:space="0"/>
                    <w:right w:val="single" w:color="FFFFFF" w:sz="4" w:space="0"/>
                  </w:tcBorders>
                  <w:shd w:val="clear" w:color="BDD7EE" w:fill="BDD7EE"/>
                  <w:noWrap/>
                  <w:vAlign w:val="center"/>
                </w:tcPr>
                <w:p w14:paraId="73EE104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FFFFFF" w:sz="12" w:space="0"/>
                    <w:left w:val="single" w:color="FFFFFF" w:sz="4" w:space="0"/>
                    <w:bottom w:val="single" w:color="FFFFFF" w:sz="4" w:space="0"/>
                    <w:right w:val="single" w:color="FFFFFF" w:sz="4" w:space="0"/>
                  </w:tcBorders>
                  <w:shd w:val="clear" w:color="BDD7EE" w:fill="BDD7EE"/>
                  <w:noWrap/>
                  <w:vAlign w:val="center"/>
                </w:tcPr>
                <w:p w14:paraId="72355BF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FFFFFF" w:sz="12" w:space="0"/>
                    <w:left w:val="single" w:color="FFFFFF" w:sz="4" w:space="0"/>
                    <w:bottom w:val="single" w:color="FFFFFF" w:sz="4" w:space="0"/>
                    <w:right w:val="nil"/>
                  </w:tcBorders>
                  <w:shd w:val="clear" w:color="BDD7EE" w:fill="BDD7EE"/>
                  <w:noWrap/>
                  <w:vAlign w:val="bottom"/>
                </w:tcPr>
                <w:p w14:paraId="025D33BE">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w:t>
                  </w:r>
                </w:p>
              </w:tc>
            </w:tr>
            <w:tr w14:paraId="0192A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DEBF7" w:fill="DDEBF7"/>
                  <w:noWrap/>
                  <w:vAlign w:val="center"/>
                </w:tcPr>
                <w:p w14:paraId="54EB0CE8">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国际经济与贸易</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608C578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0EC8A84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0" w:type="auto"/>
                  <w:tcBorders>
                    <w:top w:val="single" w:color="FFFFFF" w:sz="4" w:space="0"/>
                    <w:left w:val="single" w:color="FFFFFF" w:sz="4" w:space="0"/>
                    <w:bottom w:val="single" w:color="FFFFFF" w:sz="4" w:space="0"/>
                    <w:right w:val="nil"/>
                  </w:tcBorders>
                  <w:shd w:val="clear" w:color="DDEBF7" w:fill="DDEBF7"/>
                  <w:noWrap/>
                  <w:vAlign w:val="bottom"/>
                </w:tcPr>
                <w:p w14:paraId="111CEB0B">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w:t>
                  </w:r>
                </w:p>
              </w:tc>
            </w:tr>
            <w:tr w14:paraId="4DD09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DD7EE" w:fill="BDD7EE"/>
                  <w:noWrap/>
                  <w:vAlign w:val="center"/>
                </w:tcPr>
                <w:p w14:paraId="238F33B5">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市场营销</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68814F8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5BB9488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0" w:type="auto"/>
                  <w:tcBorders>
                    <w:top w:val="single" w:color="FFFFFF" w:sz="4" w:space="0"/>
                    <w:left w:val="single" w:color="FFFFFF" w:sz="4" w:space="0"/>
                    <w:bottom w:val="single" w:color="FFFFFF" w:sz="4" w:space="0"/>
                    <w:right w:val="nil"/>
                  </w:tcBorders>
                  <w:shd w:val="clear" w:color="BDD7EE" w:fill="BDD7EE"/>
                  <w:noWrap/>
                  <w:vAlign w:val="bottom"/>
                </w:tcPr>
                <w:p w14:paraId="7764C411">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w:t>
                  </w:r>
                </w:p>
              </w:tc>
            </w:tr>
            <w:tr w14:paraId="7EEAE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DEBF7" w:fill="DDEBF7"/>
                  <w:noWrap/>
                  <w:vAlign w:val="center"/>
                </w:tcPr>
                <w:p w14:paraId="02D05085">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建筑工程技术</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2433520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4AAF7D6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FFFFFF" w:sz="4" w:space="0"/>
                    <w:left w:val="single" w:color="FFFFFF" w:sz="4" w:space="0"/>
                    <w:bottom w:val="single" w:color="FFFFFF" w:sz="4" w:space="0"/>
                    <w:right w:val="nil"/>
                  </w:tcBorders>
                  <w:shd w:val="clear" w:color="DDEBF7" w:fill="DDEBF7"/>
                  <w:noWrap/>
                  <w:vAlign w:val="bottom"/>
                </w:tcPr>
                <w:p w14:paraId="7ACA978D">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w:t>
                  </w:r>
                </w:p>
              </w:tc>
            </w:tr>
            <w:tr w14:paraId="6EA96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DD7EE" w:fill="BDD7EE"/>
                  <w:noWrap/>
                  <w:vAlign w:val="center"/>
                </w:tcPr>
                <w:p w14:paraId="2BA6230F">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旅游英语</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7B2CB65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30D00EA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single" w:color="FFFFFF" w:sz="4" w:space="0"/>
                    <w:left w:val="single" w:color="FFFFFF" w:sz="4" w:space="0"/>
                    <w:bottom w:val="single" w:color="FFFFFF" w:sz="4" w:space="0"/>
                    <w:right w:val="nil"/>
                  </w:tcBorders>
                  <w:shd w:val="clear" w:color="BDD7EE" w:fill="BDD7EE"/>
                  <w:noWrap/>
                  <w:vAlign w:val="bottom"/>
                </w:tcPr>
                <w:p w14:paraId="06D33E8A">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w:t>
                  </w:r>
                </w:p>
              </w:tc>
            </w:tr>
            <w:tr w14:paraId="1C5BA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DEBF7" w:fill="DDEBF7"/>
                  <w:noWrap/>
                  <w:vAlign w:val="center"/>
                </w:tcPr>
                <w:p w14:paraId="43D91676">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党务工作</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7A67FA8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25F3605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FFFFFF" w:sz="4" w:space="0"/>
                    <w:left w:val="single" w:color="FFFFFF" w:sz="4" w:space="0"/>
                    <w:bottom w:val="single" w:color="FFFFFF" w:sz="4" w:space="0"/>
                    <w:right w:val="nil"/>
                  </w:tcBorders>
                  <w:shd w:val="clear" w:color="DDEBF7" w:fill="DDEBF7"/>
                  <w:noWrap/>
                  <w:vAlign w:val="bottom"/>
                </w:tcPr>
                <w:p w14:paraId="3C843872">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w:t>
                  </w:r>
                </w:p>
              </w:tc>
            </w:tr>
            <w:tr w14:paraId="182EE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DD7EE" w:fill="BDD7EE"/>
                  <w:noWrap/>
                  <w:vAlign w:val="center"/>
                </w:tcPr>
                <w:p w14:paraId="240D11A4">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城市轨道交通运营管理</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7D6C7C3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6B0B9E3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FFFFFF" w:sz="4" w:space="0"/>
                    <w:left w:val="single" w:color="FFFFFF" w:sz="4" w:space="0"/>
                    <w:bottom w:val="single" w:color="FFFFFF" w:sz="4" w:space="0"/>
                    <w:right w:val="nil"/>
                  </w:tcBorders>
                  <w:shd w:val="clear" w:color="BDD7EE" w:fill="BDD7EE"/>
                  <w:noWrap/>
                  <w:vAlign w:val="bottom"/>
                </w:tcPr>
                <w:p w14:paraId="65AFE6ED">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w:t>
                  </w:r>
                </w:p>
              </w:tc>
            </w:tr>
            <w:tr w14:paraId="2D787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DEBF7" w:fill="DDEBF7"/>
                  <w:noWrap/>
                  <w:vAlign w:val="center"/>
                </w:tcPr>
                <w:p w14:paraId="57F50BD8">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计算机应用技术</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14BED06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1419757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FFFFFF" w:sz="4" w:space="0"/>
                    <w:left w:val="single" w:color="FFFFFF" w:sz="4" w:space="0"/>
                    <w:bottom w:val="single" w:color="FFFFFF" w:sz="4" w:space="0"/>
                    <w:right w:val="nil"/>
                  </w:tcBorders>
                  <w:shd w:val="clear" w:color="DDEBF7" w:fill="DDEBF7"/>
                  <w:noWrap/>
                  <w:vAlign w:val="bottom"/>
                </w:tcPr>
                <w:p w14:paraId="118DA34F">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w:t>
                  </w:r>
                </w:p>
              </w:tc>
            </w:tr>
            <w:tr w14:paraId="6462B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DD7EE" w:fill="BDD7EE"/>
                  <w:noWrap/>
                  <w:vAlign w:val="center"/>
                </w:tcPr>
                <w:p w14:paraId="18760424">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护理</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374C67D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4CB161D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FFFFFF" w:sz="4" w:space="0"/>
                    <w:left w:val="single" w:color="FFFFFF" w:sz="4" w:space="0"/>
                    <w:bottom w:val="single" w:color="FFFFFF" w:sz="4" w:space="0"/>
                    <w:right w:val="nil"/>
                  </w:tcBorders>
                  <w:shd w:val="clear" w:color="BDD7EE" w:fill="BDD7EE"/>
                  <w:noWrap/>
                  <w:vAlign w:val="bottom"/>
                </w:tcPr>
                <w:p w14:paraId="79BCBC7A">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w:t>
                  </w:r>
                </w:p>
              </w:tc>
            </w:tr>
            <w:tr w14:paraId="242BC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DEBF7" w:fill="DDEBF7"/>
                  <w:noWrap/>
                  <w:vAlign w:val="center"/>
                </w:tcPr>
                <w:p w14:paraId="5D56353F">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医学影像技术</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647DB4C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28356F2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FFFFFF" w:sz="4" w:space="0"/>
                    <w:left w:val="single" w:color="FFFFFF" w:sz="4" w:space="0"/>
                    <w:bottom w:val="single" w:color="FFFFFF" w:sz="4" w:space="0"/>
                    <w:right w:val="nil"/>
                  </w:tcBorders>
                  <w:shd w:val="clear" w:color="DDEBF7" w:fill="DDEBF7"/>
                  <w:noWrap/>
                  <w:vAlign w:val="bottom"/>
                </w:tcPr>
                <w:p w14:paraId="02B4E512">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w:t>
                  </w:r>
                </w:p>
              </w:tc>
            </w:tr>
            <w:tr w14:paraId="57B28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DD7EE" w:fill="BDD7EE"/>
                  <w:noWrap/>
                  <w:vAlign w:val="center"/>
                </w:tcPr>
                <w:p w14:paraId="62B98865">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金融管理</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17C0EB9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0A4CF68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FFFFFF" w:sz="4" w:space="0"/>
                    <w:left w:val="single" w:color="FFFFFF" w:sz="4" w:space="0"/>
                    <w:bottom w:val="single" w:color="FFFFFF" w:sz="4" w:space="0"/>
                    <w:right w:val="nil"/>
                  </w:tcBorders>
                  <w:shd w:val="clear" w:color="BDD7EE" w:fill="BDD7EE"/>
                  <w:noWrap/>
                  <w:vAlign w:val="bottom"/>
                </w:tcPr>
                <w:p w14:paraId="5E9727D4">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w:t>
                  </w:r>
                </w:p>
              </w:tc>
            </w:tr>
            <w:tr w14:paraId="1EF6E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DEBF7" w:fill="DDEBF7"/>
                  <w:noWrap/>
                  <w:vAlign w:val="center"/>
                </w:tcPr>
                <w:p w14:paraId="0B2D2D3F">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电子商务</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0CE16B0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4D884B2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FFFFFF" w:sz="4" w:space="0"/>
                    <w:left w:val="single" w:color="FFFFFF" w:sz="4" w:space="0"/>
                    <w:bottom w:val="single" w:color="FFFFFF" w:sz="4" w:space="0"/>
                    <w:right w:val="nil"/>
                  </w:tcBorders>
                  <w:shd w:val="clear" w:color="DDEBF7" w:fill="DDEBF7"/>
                  <w:noWrap/>
                  <w:vAlign w:val="bottom"/>
                </w:tcPr>
                <w:p w14:paraId="1824852D">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w:t>
                  </w:r>
                </w:p>
              </w:tc>
            </w:tr>
            <w:tr w14:paraId="69282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DD7EE" w:fill="BDD7EE"/>
                  <w:noWrap/>
                  <w:vAlign w:val="center"/>
                </w:tcPr>
                <w:p w14:paraId="3941E267">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戏曲表演</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03E93BC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17E2188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FFFFFF" w:sz="4" w:space="0"/>
                    <w:left w:val="single" w:color="FFFFFF" w:sz="4" w:space="0"/>
                    <w:bottom w:val="single" w:color="FFFFFF" w:sz="4" w:space="0"/>
                    <w:right w:val="nil"/>
                  </w:tcBorders>
                  <w:shd w:val="clear" w:color="BDD7EE" w:fill="BDD7EE"/>
                  <w:noWrap/>
                  <w:vAlign w:val="bottom"/>
                </w:tcPr>
                <w:p w14:paraId="1E8ED32D">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w:t>
                  </w:r>
                </w:p>
              </w:tc>
            </w:tr>
            <w:tr w14:paraId="073BB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DEBF7" w:fill="DDEBF7"/>
                  <w:noWrap/>
                  <w:vAlign w:val="center"/>
                </w:tcPr>
                <w:p w14:paraId="1346AA1C">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商务英语</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3A546C0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0275913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FFFFFF" w:sz="4" w:space="0"/>
                    <w:left w:val="single" w:color="FFFFFF" w:sz="4" w:space="0"/>
                    <w:bottom w:val="single" w:color="FFFFFF" w:sz="4" w:space="0"/>
                    <w:right w:val="nil"/>
                  </w:tcBorders>
                  <w:shd w:val="clear" w:color="DDEBF7" w:fill="DDEBF7"/>
                  <w:noWrap/>
                  <w:vAlign w:val="bottom"/>
                </w:tcPr>
                <w:p w14:paraId="76B63B66">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w:t>
                  </w:r>
                </w:p>
              </w:tc>
            </w:tr>
            <w:tr w14:paraId="53DCA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DD7EE" w:fill="BDD7EE"/>
                  <w:noWrap/>
                  <w:vAlign w:val="center"/>
                </w:tcPr>
                <w:p w14:paraId="7B56E24D">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幼儿发展与健康管理</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4BD1CA8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2EBBF47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FFFFFF" w:sz="4" w:space="0"/>
                    <w:left w:val="single" w:color="FFFFFF" w:sz="4" w:space="0"/>
                    <w:bottom w:val="single" w:color="FFFFFF" w:sz="4" w:space="0"/>
                    <w:right w:val="nil"/>
                  </w:tcBorders>
                  <w:shd w:val="clear" w:color="BDD7EE" w:fill="BDD7EE"/>
                  <w:noWrap/>
                  <w:vAlign w:val="bottom"/>
                </w:tcPr>
                <w:p w14:paraId="5C6A9498">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w:t>
                  </w:r>
                </w:p>
              </w:tc>
            </w:tr>
            <w:tr w14:paraId="78244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DEBF7" w:fill="DDEBF7"/>
                  <w:noWrap/>
                  <w:vAlign w:val="center"/>
                </w:tcPr>
                <w:p w14:paraId="143A8F39">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工程造价</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5391C99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581BC06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w:t>
                  </w:r>
                </w:p>
              </w:tc>
              <w:tc>
                <w:tcPr>
                  <w:tcW w:w="0" w:type="auto"/>
                  <w:tcBorders>
                    <w:top w:val="single" w:color="FFFFFF" w:sz="4" w:space="0"/>
                    <w:left w:val="single" w:color="FFFFFF" w:sz="4" w:space="0"/>
                    <w:bottom w:val="single" w:color="FFFFFF" w:sz="4" w:space="0"/>
                    <w:right w:val="nil"/>
                  </w:tcBorders>
                  <w:shd w:val="clear" w:color="DDEBF7" w:fill="DDEBF7"/>
                  <w:noWrap/>
                  <w:vAlign w:val="bottom"/>
                </w:tcPr>
                <w:p w14:paraId="307C5FF5">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97.14%</w:t>
                  </w:r>
                </w:p>
              </w:tc>
            </w:tr>
            <w:tr w14:paraId="58CB9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DD7EE" w:fill="BDD7EE"/>
                  <w:noWrap/>
                  <w:vAlign w:val="center"/>
                </w:tcPr>
                <w:p w14:paraId="3B877313">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全媒体广告策划与营销</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10B5E0A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76C1CE1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0" w:type="auto"/>
                  <w:tcBorders>
                    <w:top w:val="single" w:color="FFFFFF" w:sz="4" w:space="0"/>
                    <w:left w:val="single" w:color="FFFFFF" w:sz="4" w:space="0"/>
                    <w:bottom w:val="single" w:color="FFFFFF" w:sz="4" w:space="0"/>
                    <w:right w:val="nil"/>
                  </w:tcBorders>
                  <w:shd w:val="clear" w:color="BDD7EE" w:fill="BDD7EE"/>
                  <w:noWrap/>
                  <w:vAlign w:val="bottom"/>
                </w:tcPr>
                <w:p w14:paraId="606BBE72">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96.15%</w:t>
                  </w:r>
                </w:p>
              </w:tc>
            </w:tr>
            <w:tr w14:paraId="62F58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DEBF7" w:fill="DDEBF7"/>
                  <w:noWrap/>
                  <w:vAlign w:val="center"/>
                </w:tcPr>
                <w:p w14:paraId="0C589CD5">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建筑工程技术</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68F058D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0172193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w:t>
                  </w:r>
                </w:p>
              </w:tc>
              <w:tc>
                <w:tcPr>
                  <w:tcW w:w="0" w:type="auto"/>
                  <w:tcBorders>
                    <w:top w:val="single" w:color="FFFFFF" w:sz="4" w:space="0"/>
                    <w:left w:val="single" w:color="FFFFFF" w:sz="4" w:space="0"/>
                    <w:bottom w:val="single" w:color="FFFFFF" w:sz="4" w:space="0"/>
                    <w:right w:val="nil"/>
                  </w:tcBorders>
                  <w:shd w:val="clear" w:color="DDEBF7" w:fill="DDEBF7"/>
                  <w:noWrap/>
                  <w:vAlign w:val="bottom"/>
                </w:tcPr>
                <w:p w14:paraId="3A391B4C">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95.60%</w:t>
                  </w:r>
                </w:p>
              </w:tc>
            </w:tr>
            <w:tr w14:paraId="24A58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DD7EE" w:fill="BDD7EE"/>
                  <w:noWrap/>
                  <w:vAlign w:val="center"/>
                </w:tcPr>
                <w:p w14:paraId="67104B17">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商务英语</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15FE454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2F22C20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0" w:type="auto"/>
                  <w:tcBorders>
                    <w:top w:val="single" w:color="FFFFFF" w:sz="4" w:space="0"/>
                    <w:left w:val="single" w:color="FFFFFF" w:sz="4" w:space="0"/>
                    <w:bottom w:val="single" w:color="FFFFFF" w:sz="4" w:space="0"/>
                    <w:right w:val="nil"/>
                  </w:tcBorders>
                  <w:shd w:val="clear" w:color="BDD7EE" w:fill="BDD7EE"/>
                  <w:noWrap/>
                  <w:vAlign w:val="bottom"/>
                </w:tcPr>
                <w:p w14:paraId="7875D640">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95.45%</w:t>
                  </w:r>
                </w:p>
              </w:tc>
            </w:tr>
            <w:tr w14:paraId="11028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DEBF7" w:fill="DDEBF7"/>
                  <w:noWrap/>
                  <w:vAlign w:val="center"/>
                </w:tcPr>
                <w:p w14:paraId="2CE6FF4B">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影视编导</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636EAA9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2F7AAD5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0" w:type="auto"/>
                  <w:tcBorders>
                    <w:top w:val="single" w:color="FFFFFF" w:sz="4" w:space="0"/>
                    <w:left w:val="single" w:color="FFFFFF" w:sz="4" w:space="0"/>
                    <w:bottom w:val="single" w:color="FFFFFF" w:sz="4" w:space="0"/>
                    <w:right w:val="nil"/>
                  </w:tcBorders>
                  <w:shd w:val="clear" w:color="DDEBF7" w:fill="DDEBF7"/>
                  <w:noWrap/>
                  <w:vAlign w:val="bottom"/>
                </w:tcPr>
                <w:p w14:paraId="60D41844">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94.55%</w:t>
                  </w:r>
                </w:p>
              </w:tc>
            </w:tr>
            <w:tr w14:paraId="060A0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DD7EE" w:fill="BDD7EE"/>
                  <w:noWrap/>
                  <w:vAlign w:val="center"/>
                </w:tcPr>
                <w:p w14:paraId="5752078A">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云计算技术应用</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752A418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75DD32F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0" w:type="auto"/>
                  <w:tcBorders>
                    <w:top w:val="single" w:color="FFFFFF" w:sz="4" w:space="0"/>
                    <w:left w:val="single" w:color="FFFFFF" w:sz="4" w:space="0"/>
                    <w:bottom w:val="single" w:color="FFFFFF" w:sz="4" w:space="0"/>
                    <w:right w:val="nil"/>
                  </w:tcBorders>
                  <w:shd w:val="clear" w:color="BDD7EE" w:fill="BDD7EE"/>
                  <w:noWrap/>
                  <w:vAlign w:val="bottom"/>
                </w:tcPr>
                <w:p w14:paraId="4711611F">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94.44%</w:t>
                  </w:r>
                </w:p>
              </w:tc>
            </w:tr>
            <w:tr w14:paraId="44C42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DEBF7" w:fill="DDEBF7"/>
                  <w:noWrap/>
                  <w:vAlign w:val="center"/>
                </w:tcPr>
                <w:p w14:paraId="5C1A96AF">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数字媒体技术</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1B1A465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305A7D3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0" w:type="auto"/>
                  <w:tcBorders>
                    <w:top w:val="single" w:color="FFFFFF" w:sz="4" w:space="0"/>
                    <w:left w:val="single" w:color="FFFFFF" w:sz="4" w:space="0"/>
                    <w:bottom w:val="single" w:color="FFFFFF" w:sz="4" w:space="0"/>
                    <w:right w:val="nil"/>
                  </w:tcBorders>
                  <w:shd w:val="clear" w:color="DDEBF7" w:fill="DDEBF7"/>
                  <w:noWrap/>
                  <w:vAlign w:val="bottom"/>
                </w:tcPr>
                <w:p w14:paraId="0833181F">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94.12%</w:t>
                  </w:r>
                </w:p>
              </w:tc>
            </w:tr>
            <w:tr w14:paraId="16BB1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DD7EE" w:fill="BDD7EE"/>
                  <w:noWrap/>
                  <w:vAlign w:val="center"/>
                </w:tcPr>
                <w:p w14:paraId="46D2E7CC">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铁道交通运营管理</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6A651E6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1FAA4C2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0" w:type="auto"/>
                  <w:tcBorders>
                    <w:top w:val="single" w:color="FFFFFF" w:sz="4" w:space="0"/>
                    <w:left w:val="single" w:color="FFFFFF" w:sz="4" w:space="0"/>
                    <w:bottom w:val="single" w:color="FFFFFF" w:sz="4" w:space="0"/>
                    <w:right w:val="nil"/>
                  </w:tcBorders>
                  <w:shd w:val="clear" w:color="BDD7EE" w:fill="BDD7EE"/>
                  <w:noWrap/>
                  <w:vAlign w:val="bottom"/>
                </w:tcPr>
                <w:p w14:paraId="3B6CF40A">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92.65%</w:t>
                  </w:r>
                </w:p>
              </w:tc>
            </w:tr>
            <w:tr w14:paraId="2DA15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DEBF7" w:fill="DDEBF7"/>
                  <w:noWrap/>
                  <w:vAlign w:val="center"/>
                </w:tcPr>
                <w:p w14:paraId="72F722B0">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酒店管理与数字化运营</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47405FF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221EF38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0" w:type="auto"/>
                  <w:tcBorders>
                    <w:top w:val="single" w:color="FFFFFF" w:sz="4" w:space="0"/>
                    <w:left w:val="single" w:color="FFFFFF" w:sz="4" w:space="0"/>
                    <w:bottom w:val="single" w:color="FFFFFF" w:sz="4" w:space="0"/>
                    <w:right w:val="nil"/>
                  </w:tcBorders>
                  <w:shd w:val="clear" w:color="DDEBF7" w:fill="DDEBF7"/>
                  <w:noWrap/>
                  <w:vAlign w:val="bottom"/>
                </w:tcPr>
                <w:p w14:paraId="0EC7B8CF">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90.91%</w:t>
                  </w:r>
                </w:p>
              </w:tc>
            </w:tr>
            <w:tr w14:paraId="392EB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DD7EE" w:fill="BDD7EE"/>
                  <w:noWrap/>
                  <w:vAlign w:val="center"/>
                </w:tcPr>
                <w:p w14:paraId="64B5503F">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铁道信号自动控制</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433ED34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4043EF3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0" w:type="auto"/>
                  <w:tcBorders>
                    <w:top w:val="single" w:color="FFFFFF" w:sz="4" w:space="0"/>
                    <w:left w:val="single" w:color="FFFFFF" w:sz="4" w:space="0"/>
                    <w:bottom w:val="single" w:color="FFFFFF" w:sz="4" w:space="0"/>
                    <w:right w:val="nil"/>
                  </w:tcBorders>
                  <w:shd w:val="clear" w:color="BDD7EE" w:fill="BDD7EE"/>
                  <w:noWrap/>
                  <w:vAlign w:val="bottom"/>
                </w:tcPr>
                <w:p w14:paraId="098E58ED">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90.48%</w:t>
                  </w:r>
                </w:p>
              </w:tc>
            </w:tr>
            <w:tr w14:paraId="63EA5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DEBF7" w:fill="DDEBF7"/>
                  <w:noWrap/>
                  <w:vAlign w:val="center"/>
                </w:tcPr>
                <w:p w14:paraId="1583359F">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电子竞技运动与管理</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33D3B32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1486F7B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0" w:type="auto"/>
                  <w:tcBorders>
                    <w:top w:val="single" w:color="FFFFFF" w:sz="4" w:space="0"/>
                    <w:left w:val="single" w:color="FFFFFF" w:sz="4" w:space="0"/>
                    <w:bottom w:val="single" w:color="FFFFFF" w:sz="4" w:space="0"/>
                    <w:right w:val="nil"/>
                  </w:tcBorders>
                  <w:shd w:val="clear" w:color="DDEBF7" w:fill="DDEBF7"/>
                  <w:noWrap/>
                  <w:vAlign w:val="bottom"/>
                </w:tcPr>
                <w:p w14:paraId="62930458">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90.48%</w:t>
                  </w:r>
                </w:p>
              </w:tc>
            </w:tr>
            <w:tr w14:paraId="5390B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DD7EE" w:fill="BDD7EE"/>
                  <w:noWrap/>
                  <w:vAlign w:val="center"/>
                </w:tcPr>
                <w:p w14:paraId="20885A36">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机电一体化技术</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202A792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654569A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0" w:type="auto"/>
                  <w:tcBorders>
                    <w:top w:val="single" w:color="FFFFFF" w:sz="4" w:space="0"/>
                    <w:left w:val="single" w:color="FFFFFF" w:sz="4" w:space="0"/>
                    <w:bottom w:val="single" w:color="FFFFFF" w:sz="4" w:space="0"/>
                    <w:right w:val="nil"/>
                  </w:tcBorders>
                  <w:shd w:val="clear" w:color="BDD7EE" w:fill="BDD7EE"/>
                  <w:noWrap/>
                  <w:vAlign w:val="bottom"/>
                </w:tcPr>
                <w:p w14:paraId="0C58FA68">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89.23%</w:t>
                  </w:r>
                </w:p>
              </w:tc>
            </w:tr>
            <w:tr w14:paraId="6EBE5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DEBF7" w:fill="DDEBF7"/>
                  <w:noWrap/>
                  <w:vAlign w:val="center"/>
                </w:tcPr>
                <w:p w14:paraId="672D7641">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无人机应用技术</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59E492C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3CABB05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0" w:type="auto"/>
                  <w:tcBorders>
                    <w:top w:val="single" w:color="FFFFFF" w:sz="4" w:space="0"/>
                    <w:left w:val="single" w:color="FFFFFF" w:sz="4" w:space="0"/>
                    <w:bottom w:val="single" w:color="FFFFFF" w:sz="4" w:space="0"/>
                    <w:right w:val="nil"/>
                  </w:tcBorders>
                  <w:shd w:val="clear" w:color="DDEBF7" w:fill="DDEBF7"/>
                  <w:noWrap/>
                  <w:vAlign w:val="bottom"/>
                </w:tcPr>
                <w:p w14:paraId="49E50334">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88.24%</w:t>
                  </w:r>
                </w:p>
              </w:tc>
            </w:tr>
            <w:tr w14:paraId="49D4B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DD7EE" w:fill="BDD7EE"/>
                  <w:noWrap/>
                  <w:vAlign w:val="center"/>
                </w:tcPr>
                <w:p w14:paraId="31A27DA3">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护理</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0BA2877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296</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5C17EC0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259</w:t>
                  </w:r>
                </w:p>
              </w:tc>
              <w:tc>
                <w:tcPr>
                  <w:tcW w:w="0" w:type="auto"/>
                  <w:tcBorders>
                    <w:top w:val="single" w:color="FFFFFF" w:sz="4" w:space="0"/>
                    <w:left w:val="single" w:color="FFFFFF" w:sz="4" w:space="0"/>
                    <w:bottom w:val="single" w:color="FFFFFF" w:sz="4" w:space="0"/>
                    <w:right w:val="nil"/>
                  </w:tcBorders>
                  <w:shd w:val="clear" w:color="BDD7EE" w:fill="BDD7EE"/>
                  <w:noWrap/>
                  <w:vAlign w:val="bottom"/>
                </w:tcPr>
                <w:p w14:paraId="1BC38903">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87.50%</w:t>
                  </w:r>
                </w:p>
              </w:tc>
            </w:tr>
            <w:tr w14:paraId="036B6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DEBF7" w:fill="DDEBF7"/>
                  <w:noWrap/>
                  <w:vAlign w:val="center"/>
                </w:tcPr>
                <w:p w14:paraId="2B53BC28">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动漫制作技术</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5DED379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2AA61E0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0" w:type="auto"/>
                  <w:tcBorders>
                    <w:top w:val="single" w:color="FFFFFF" w:sz="4" w:space="0"/>
                    <w:left w:val="single" w:color="FFFFFF" w:sz="4" w:space="0"/>
                    <w:bottom w:val="single" w:color="FFFFFF" w:sz="4" w:space="0"/>
                    <w:right w:val="nil"/>
                  </w:tcBorders>
                  <w:shd w:val="clear" w:color="DDEBF7" w:fill="DDEBF7"/>
                  <w:noWrap/>
                  <w:vAlign w:val="bottom"/>
                </w:tcPr>
                <w:p w14:paraId="162CCECA">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86.79%</w:t>
                  </w:r>
                </w:p>
              </w:tc>
            </w:tr>
            <w:tr w14:paraId="3615A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DD7EE" w:fill="BDD7EE"/>
                  <w:noWrap/>
                  <w:vAlign w:val="center"/>
                </w:tcPr>
                <w:p w14:paraId="2FCB085A">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民航安全技术管理</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382FC77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0A0DCB0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0" w:type="auto"/>
                  <w:tcBorders>
                    <w:top w:val="single" w:color="FFFFFF" w:sz="4" w:space="0"/>
                    <w:left w:val="single" w:color="FFFFFF" w:sz="4" w:space="0"/>
                    <w:bottom w:val="single" w:color="FFFFFF" w:sz="4" w:space="0"/>
                    <w:right w:val="nil"/>
                  </w:tcBorders>
                  <w:shd w:val="clear" w:color="BDD7EE" w:fill="BDD7EE"/>
                  <w:noWrap/>
                  <w:vAlign w:val="bottom"/>
                </w:tcPr>
                <w:p w14:paraId="0AD5A8E5">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85.71%</w:t>
                  </w:r>
                </w:p>
              </w:tc>
            </w:tr>
            <w:tr w14:paraId="4BE72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DEBF7" w:fill="DDEBF7"/>
                  <w:noWrap/>
                  <w:vAlign w:val="center"/>
                </w:tcPr>
                <w:p w14:paraId="28A27F01">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金融服务与管理</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7D34872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386129F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0" w:type="auto"/>
                  <w:tcBorders>
                    <w:top w:val="single" w:color="FFFFFF" w:sz="4" w:space="0"/>
                    <w:left w:val="single" w:color="FFFFFF" w:sz="4" w:space="0"/>
                    <w:bottom w:val="single" w:color="FFFFFF" w:sz="4" w:space="0"/>
                    <w:right w:val="nil"/>
                  </w:tcBorders>
                  <w:shd w:val="clear" w:color="DDEBF7" w:fill="DDEBF7"/>
                  <w:noWrap/>
                  <w:vAlign w:val="bottom"/>
                </w:tcPr>
                <w:p w14:paraId="3712A635">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85.71%</w:t>
                  </w:r>
                </w:p>
              </w:tc>
            </w:tr>
            <w:tr w14:paraId="04A38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DD7EE" w:fill="BDD7EE"/>
                  <w:noWrap/>
                  <w:vAlign w:val="center"/>
                </w:tcPr>
                <w:p w14:paraId="0723A34F">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医学影像技术</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709893B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65B9C71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172</w:t>
                  </w:r>
                </w:p>
              </w:tc>
              <w:tc>
                <w:tcPr>
                  <w:tcW w:w="0" w:type="auto"/>
                  <w:tcBorders>
                    <w:top w:val="single" w:color="FFFFFF" w:sz="4" w:space="0"/>
                    <w:left w:val="single" w:color="FFFFFF" w:sz="4" w:space="0"/>
                    <w:bottom w:val="single" w:color="FFFFFF" w:sz="4" w:space="0"/>
                    <w:right w:val="nil"/>
                  </w:tcBorders>
                  <w:shd w:val="clear" w:color="BDD7EE" w:fill="BDD7EE"/>
                  <w:noWrap/>
                  <w:vAlign w:val="bottom"/>
                </w:tcPr>
                <w:p w14:paraId="3571E57C">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85.15%</w:t>
                  </w:r>
                </w:p>
              </w:tc>
            </w:tr>
            <w:tr w14:paraId="581F8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DEBF7" w:fill="DDEBF7"/>
                  <w:noWrap/>
                  <w:vAlign w:val="center"/>
                </w:tcPr>
                <w:p w14:paraId="0AF8192B">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汽车制造与试验技术</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43B1B58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0133450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0" w:type="auto"/>
                  <w:tcBorders>
                    <w:top w:val="single" w:color="FFFFFF" w:sz="4" w:space="0"/>
                    <w:left w:val="single" w:color="FFFFFF" w:sz="4" w:space="0"/>
                    <w:bottom w:val="single" w:color="FFFFFF" w:sz="4" w:space="0"/>
                    <w:right w:val="nil"/>
                  </w:tcBorders>
                  <w:shd w:val="clear" w:color="DDEBF7" w:fill="DDEBF7"/>
                  <w:noWrap/>
                  <w:vAlign w:val="bottom"/>
                </w:tcPr>
                <w:p w14:paraId="416429BE">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84.62%</w:t>
                  </w:r>
                </w:p>
              </w:tc>
            </w:tr>
            <w:tr w14:paraId="6462A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DD7EE" w:fill="BDD7EE"/>
                  <w:noWrap/>
                  <w:vAlign w:val="center"/>
                </w:tcPr>
                <w:p w14:paraId="07F57013">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汽车智能技术</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0AC6568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1EEF3E2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0" w:type="auto"/>
                  <w:tcBorders>
                    <w:top w:val="single" w:color="FFFFFF" w:sz="4" w:space="0"/>
                    <w:left w:val="single" w:color="FFFFFF" w:sz="4" w:space="0"/>
                    <w:bottom w:val="single" w:color="FFFFFF" w:sz="4" w:space="0"/>
                    <w:right w:val="nil"/>
                  </w:tcBorders>
                  <w:shd w:val="clear" w:color="BDD7EE" w:fill="BDD7EE"/>
                  <w:noWrap/>
                  <w:vAlign w:val="bottom"/>
                </w:tcPr>
                <w:p w14:paraId="5DAF0958">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84.62%</w:t>
                  </w:r>
                </w:p>
              </w:tc>
            </w:tr>
            <w:tr w14:paraId="490DE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DEBF7" w:fill="DDEBF7"/>
                  <w:noWrap/>
                  <w:vAlign w:val="center"/>
                </w:tcPr>
                <w:p w14:paraId="7519F79F">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电子商务</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3EF5805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264CB6E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0" w:type="auto"/>
                  <w:tcBorders>
                    <w:top w:val="single" w:color="FFFFFF" w:sz="4" w:space="0"/>
                    <w:left w:val="single" w:color="FFFFFF" w:sz="4" w:space="0"/>
                    <w:bottom w:val="single" w:color="FFFFFF" w:sz="4" w:space="0"/>
                    <w:right w:val="nil"/>
                  </w:tcBorders>
                  <w:shd w:val="clear" w:color="DDEBF7" w:fill="DDEBF7"/>
                  <w:noWrap/>
                  <w:vAlign w:val="bottom"/>
                </w:tcPr>
                <w:p w14:paraId="431C4D34">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83.56%</w:t>
                  </w:r>
                </w:p>
              </w:tc>
            </w:tr>
            <w:tr w14:paraId="11F08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DD7EE" w:fill="BDD7EE"/>
                  <w:noWrap/>
                  <w:vAlign w:val="center"/>
                </w:tcPr>
                <w:p w14:paraId="2EBBE7DE">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大数据技术</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76E8C88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0DDDFEA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0" w:type="auto"/>
                  <w:tcBorders>
                    <w:top w:val="single" w:color="FFFFFF" w:sz="4" w:space="0"/>
                    <w:left w:val="single" w:color="FFFFFF" w:sz="4" w:space="0"/>
                    <w:bottom w:val="single" w:color="FFFFFF" w:sz="4" w:space="0"/>
                    <w:right w:val="nil"/>
                  </w:tcBorders>
                  <w:shd w:val="clear" w:color="BDD7EE" w:fill="BDD7EE"/>
                  <w:noWrap/>
                  <w:vAlign w:val="bottom"/>
                </w:tcPr>
                <w:p w14:paraId="258FDEC8">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83.33%</w:t>
                  </w:r>
                </w:p>
              </w:tc>
            </w:tr>
            <w:tr w14:paraId="6D3F6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DEBF7" w:fill="DDEBF7"/>
                  <w:noWrap/>
                  <w:vAlign w:val="center"/>
                </w:tcPr>
                <w:p w14:paraId="14F86FA7">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婴幼儿托育服务与管理</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7527C01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10A4163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w:t>
                  </w:r>
                </w:p>
              </w:tc>
              <w:tc>
                <w:tcPr>
                  <w:tcW w:w="0" w:type="auto"/>
                  <w:tcBorders>
                    <w:top w:val="single" w:color="FFFFFF" w:sz="4" w:space="0"/>
                    <w:left w:val="single" w:color="FFFFFF" w:sz="4" w:space="0"/>
                    <w:bottom w:val="single" w:color="FFFFFF" w:sz="4" w:space="0"/>
                    <w:right w:val="nil"/>
                  </w:tcBorders>
                  <w:shd w:val="clear" w:color="DDEBF7" w:fill="DDEBF7"/>
                  <w:noWrap/>
                  <w:vAlign w:val="bottom"/>
                </w:tcPr>
                <w:p w14:paraId="06C05567">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82.40%</w:t>
                  </w:r>
                </w:p>
              </w:tc>
            </w:tr>
            <w:tr w14:paraId="277E9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DD7EE" w:fill="BDD7EE"/>
                  <w:noWrap/>
                  <w:vAlign w:val="center"/>
                </w:tcPr>
                <w:p w14:paraId="7C649CD0">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人力资源管理</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651EF8C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783152A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0" w:type="auto"/>
                  <w:tcBorders>
                    <w:top w:val="single" w:color="FFFFFF" w:sz="4" w:space="0"/>
                    <w:left w:val="single" w:color="FFFFFF" w:sz="4" w:space="0"/>
                    <w:bottom w:val="single" w:color="FFFFFF" w:sz="4" w:space="0"/>
                    <w:right w:val="nil"/>
                  </w:tcBorders>
                  <w:shd w:val="clear" w:color="BDD7EE" w:fill="BDD7EE"/>
                  <w:noWrap/>
                  <w:vAlign w:val="bottom"/>
                </w:tcPr>
                <w:p w14:paraId="3755E805">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81.82%</w:t>
                  </w:r>
                </w:p>
              </w:tc>
            </w:tr>
            <w:tr w14:paraId="634C5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DEBF7" w:fill="DDEBF7"/>
                  <w:noWrap/>
                  <w:vAlign w:val="center"/>
                </w:tcPr>
                <w:p w14:paraId="577B3238">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电气自动化技术</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306897B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44DBF05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0" w:type="auto"/>
                  <w:tcBorders>
                    <w:top w:val="single" w:color="FFFFFF" w:sz="4" w:space="0"/>
                    <w:left w:val="single" w:color="FFFFFF" w:sz="4" w:space="0"/>
                    <w:bottom w:val="single" w:color="FFFFFF" w:sz="4" w:space="0"/>
                    <w:right w:val="nil"/>
                  </w:tcBorders>
                  <w:shd w:val="clear" w:color="DDEBF7" w:fill="DDEBF7"/>
                  <w:noWrap/>
                  <w:vAlign w:val="bottom"/>
                </w:tcPr>
                <w:p w14:paraId="77AEDD10">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81.13%</w:t>
                  </w:r>
                </w:p>
              </w:tc>
            </w:tr>
            <w:tr w14:paraId="38ADE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DD7EE" w:fill="BDD7EE"/>
                  <w:noWrap/>
                  <w:vAlign w:val="center"/>
                </w:tcPr>
                <w:p w14:paraId="3D174F33">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城市轨道交通运营管理</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77A0E4E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54FCA21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c>
                <w:tcPr>
                  <w:tcW w:w="0" w:type="auto"/>
                  <w:tcBorders>
                    <w:top w:val="single" w:color="FFFFFF" w:sz="4" w:space="0"/>
                    <w:left w:val="single" w:color="FFFFFF" w:sz="4" w:space="0"/>
                    <w:bottom w:val="single" w:color="FFFFFF" w:sz="4" w:space="0"/>
                    <w:right w:val="nil"/>
                  </w:tcBorders>
                  <w:shd w:val="clear" w:color="BDD7EE" w:fill="BDD7EE"/>
                  <w:noWrap/>
                  <w:vAlign w:val="bottom"/>
                </w:tcPr>
                <w:p w14:paraId="0979B681">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81.01%</w:t>
                  </w:r>
                </w:p>
              </w:tc>
            </w:tr>
            <w:tr w14:paraId="0D23B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DEBF7" w:fill="DDEBF7"/>
                  <w:noWrap/>
                  <w:vAlign w:val="center"/>
                </w:tcPr>
                <w:p w14:paraId="0D884DB5">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计算机应用技术</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23FC395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244</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37856D1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195</w:t>
                  </w:r>
                </w:p>
              </w:tc>
              <w:tc>
                <w:tcPr>
                  <w:tcW w:w="0" w:type="auto"/>
                  <w:tcBorders>
                    <w:top w:val="single" w:color="FFFFFF" w:sz="4" w:space="0"/>
                    <w:left w:val="single" w:color="FFFFFF" w:sz="4" w:space="0"/>
                    <w:bottom w:val="single" w:color="FFFFFF" w:sz="4" w:space="0"/>
                    <w:right w:val="nil"/>
                  </w:tcBorders>
                  <w:shd w:val="clear" w:color="DDEBF7" w:fill="DDEBF7"/>
                  <w:noWrap/>
                  <w:vAlign w:val="bottom"/>
                </w:tcPr>
                <w:p w14:paraId="37D6E50A">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79.92%</w:t>
                  </w:r>
                </w:p>
              </w:tc>
            </w:tr>
            <w:tr w14:paraId="7B294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DD7EE" w:fill="BDD7EE"/>
                  <w:noWrap/>
                  <w:vAlign w:val="center"/>
                </w:tcPr>
                <w:p w14:paraId="7F6B18AB">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大数据与会计</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173809E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68F7CEA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0" w:type="auto"/>
                  <w:tcBorders>
                    <w:top w:val="single" w:color="FFFFFF" w:sz="4" w:space="0"/>
                    <w:left w:val="single" w:color="FFFFFF" w:sz="4" w:space="0"/>
                    <w:bottom w:val="single" w:color="FFFFFF" w:sz="4" w:space="0"/>
                    <w:right w:val="nil"/>
                  </w:tcBorders>
                  <w:shd w:val="clear" w:color="BDD7EE" w:fill="BDD7EE"/>
                  <w:noWrap/>
                  <w:vAlign w:val="bottom"/>
                </w:tcPr>
                <w:p w14:paraId="553065AF">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79.71%</w:t>
                  </w:r>
                </w:p>
              </w:tc>
            </w:tr>
            <w:tr w14:paraId="099DA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DEBF7" w:fill="DDEBF7"/>
                  <w:noWrap/>
                  <w:vAlign w:val="center"/>
                </w:tcPr>
                <w:p w14:paraId="4D675E92">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移动应用开发</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4D80E15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4DEDA27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0" w:type="auto"/>
                  <w:tcBorders>
                    <w:top w:val="single" w:color="FFFFFF" w:sz="4" w:space="0"/>
                    <w:left w:val="single" w:color="FFFFFF" w:sz="4" w:space="0"/>
                    <w:bottom w:val="single" w:color="FFFFFF" w:sz="4" w:space="0"/>
                    <w:right w:val="nil"/>
                  </w:tcBorders>
                  <w:shd w:val="clear" w:color="DDEBF7" w:fill="DDEBF7"/>
                  <w:noWrap/>
                  <w:vAlign w:val="bottom"/>
                </w:tcPr>
                <w:p w14:paraId="65203F64">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79.66%</w:t>
                  </w:r>
                </w:p>
              </w:tc>
            </w:tr>
            <w:tr w14:paraId="5315D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DD7EE" w:fill="BDD7EE"/>
                  <w:noWrap/>
                  <w:vAlign w:val="center"/>
                </w:tcPr>
                <w:p w14:paraId="7B94477E">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新能源汽车技术</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0BB6B8F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07ECFB7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0" w:type="auto"/>
                  <w:tcBorders>
                    <w:top w:val="single" w:color="FFFFFF" w:sz="4" w:space="0"/>
                    <w:left w:val="single" w:color="FFFFFF" w:sz="4" w:space="0"/>
                    <w:bottom w:val="single" w:color="FFFFFF" w:sz="4" w:space="0"/>
                    <w:right w:val="nil"/>
                  </w:tcBorders>
                  <w:shd w:val="clear" w:color="BDD7EE" w:fill="BDD7EE"/>
                  <w:noWrap/>
                  <w:vAlign w:val="bottom"/>
                </w:tcPr>
                <w:p w14:paraId="1AFD2BC6">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73.33%</w:t>
                  </w:r>
                </w:p>
              </w:tc>
            </w:tr>
            <w:tr w14:paraId="4C5CC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DEBF7" w:fill="DDEBF7"/>
                  <w:noWrap/>
                  <w:vAlign w:val="center"/>
                </w:tcPr>
                <w:p w14:paraId="69D2BE78">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计算机网络技术</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3DD73D6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7B4BCB1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0" w:type="auto"/>
                  <w:tcBorders>
                    <w:top w:val="single" w:color="FFFFFF" w:sz="4" w:space="0"/>
                    <w:left w:val="single" w:color="FFFFFF" w:sz="4" w:space="0"/>
                    <w:bottom w:val="single" w:color="FFFFFF" w:sz="4" w:space="0"/>
                    <w:right w:val="nil"/>
                  </w:tcBorders>
                  <w:shd w:val="clear" w:color="DDEBF7" w:fill="DDEBF7"/>
                  <w:noWrap/>
                  <w:vAlign w:val="bottom"/>
                </w:tcPr>
                <w:p w14:paraId="76AED5E0">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72.22%</w:t>
                  </w:r>
                </w:p>
              </w:tc>
            </w:tr>
            <w:tr w14:paraId="3F88E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DD7EE" w:fill="BDD7EE"/>
                  <w:noWrap/>
                  <w:vAlign w:val="center"/>
                </w:tcPr>
                <w:p w14:paraId="226F4F21">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药品经营与管理</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524BDEC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044AB89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0" w:type="auto"/>
                  <w:tcBorders>
                    <w:top w:val="single" w:color="FFFFFF" w:sz="4" w:space="0"/>
                    <w:left w:val="single" w:color="FFFFFF" w:sz="4" w:space="0"/>
                    <w:bottom w:val="single" w:color="FFFFFF" w:sz="4" w:space="0"/>
                    <w:right w:val="nil"/>
                  </w:tcBorders>
                  <w:shd w:val="clear" w:color="BDD7EE" w:fill="BDD7EE"/>
                  <w:noWrap/>
                  <w:vAlign w:val="bottom"/>
                </w:tcPr>
                <w:p w14:paraId="06690697">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68.00%</w:t>
                  </w:r>
                </w:p>
              </w:tc>
            </w:tr>
            <w:tr w14:paraId="0932F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DEBF7" w:fill="DDEBF7"/>
                  <w:noWrap/>
                  <w:vAlign w:val="center"/>
                </w:tcPr>
                <w:p w14:paraId="35AF864D">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建筑装饰工程技术</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1481A9F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744BFA8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0" w:type="auto"/>
                  <w:tcBorders>
                    <w:top w:val="single" w:color="FFFFFF" w:sz="4" w:space="0"/>
                    <w:left w:val="single" w:color="FFFFFF" w:sz="4" w:space="0"/>
                    <w:bottom w:val="single" w:color="FFFFFF" w:sz="4" w:space="0"/>
                    <w:right w:val="nil"/>
                  </w:tcBorders>
                  <w:shd w:val="clear" w:color="DDEBF7" w:fill="DDEBF7"/>
                  <w:noWrap/>
                  <w:vAlign w:val="bottom"/>
                </w:tcPr>
                <w:p w14:paraId="17D82CDF">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66.67%</w:t>
                  </w:r>
                </w:p>
              </w:tc>
            </w:tr>
            <w:tr w14:paraId="51DD4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DD7EE" w:fill="BDD7EE"/>
                  <w:noWrap/>
                  <w:vAlign w:val="center"/>
                </w:tcPr>
                <w:p w14:paraId="379F03E0">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大数据与财务管理</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362EB4B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5EB0C62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0" w:type="auto"/>
                  <w:tcBorders>
                    <w:top w:val="single" w:color="FFFFFF" w:sz="4" w:space="0"/>
                    <w:left w:val="single" w:color="FFFFFF" w:sz="4" w:space="0"/>
                    <w:bottom w:val="single" w:color="FFFFFF" w:sz="4" w:space="0"/>
                    <w:right w:val="nil"/>
                  </w:tcBorders>
                  <w:shd w:val="clear" w:color="BDD7EE" w:fill="BDD7EE"/>
                  <w:noWrap/>
                  <w:vAlign w:val="bottom"/>
                </w:tcPr>
                <w:p w14:paraId="7443A2B9">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66.67%</w:t>
                  </w:r>
                </w:p>
              </w:tc>
            </w:tr>
            <w:tr w14:paraId="1AD9F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DEBF7" w:fill="DDEBF7"/>
                  <w:noWrap/>
                  <w:vAlign w:val="center"/>
                </w:tcPr>
                <w:p w14:paraId="06464EFF">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旅游管理</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2F14BF2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0C7D18D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0" w:type="auto"/>
                  <w:tcBorders>
                    <w:top w:val="single" w:color="FFFFFF" w:sz="4" w:space="0"/>
                    <w:left w:val="single" w:color="FFFFFF" w:sz="4" w:space="0"/>
                    <w:bottom w:val="single" w:color="FFFFFF" w:sz="4" w:space="0"/>
                    <w:right w:val="nil"/>
                  </w:tcBorders>
                  <w:shd w:val="clear" w:color="DDEBF7" w:fill="DDEBF7"/>
                  <w:noWrap/>
                  <w:vAlign w:val="bottom"/>
                </w:tcPr>
                <w:p w14:paraId="7515DD6D">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64.71%</w:t>
                  </w:r>
                </w:p>
              </w:tc>
            </w:tr>
            <w:tr w14:paraId="50326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DD7EE" w:fill="BDD7EE"/>
                  <w:noWrap/>
                  <w:vAlign w:val="center"/>
                </w:tcPr>
                <w:p w14:paraId="21C15367">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物联网应用技术</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194C4C8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7767725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0" w:type="auto"/>
                  <w:tcBorders>
                    <w:top w:val="single" w:color="FFFFFF" w:sz="4" w:space="0"/>
                    <w:left w:val="single" w:color="FFFFFF" w:sz="4" w:space="0"/>
                    <w:bottom w:val="single" w:color="FFFFFF" w:sz="4" w:space="0"/>
                    <w:right w:val="nil"/>
                  </w:tcBorders>
                  <w:shd w:val="clear" w:color="BDD7EE" w:fill="BDD7EE"/>
                  <w:noWrap/>
                  <w:vAlign w:val="bottom"/>
                </w:tcPr>
                <w:p w14:paraId="65F1CB09">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62.96%</w:t>
                  </w:r>
                </w:p>
              </w:tc>
            </w:tr>
            <w:tr w14:paraId="6C041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DEBF7" w:fill="DDEBF7"/>
                  <w:noWrap/>
                  <w:vAlign w:val="center"/>
                </w:tcPr>
                <w:p w14:paraId="5D9A637F">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空中乘务</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2AF627D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46F7952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0" w:type="auto"/>
                  <w:tcBorders>
                    <w:top w:val="single" w:color="FFFFFF" w:sz="4" w:space="0"/>
                    <w:left w:val="single" w:color="FFFFFF" w:sz="4" w:space="0"/>
                    <w:bottom w:val="single" w:color="FFFFFF" w:sz="4" w:space="0"/>
                    <w:right w:val="nil"/>
                  </w:tcBorders>
                  <w:shd w:val="clear" w:color="DDEBF7" w:fill="DDEBF7"/>
                  <w:noWrap/>
                  <w:vAlign w:val="bottom"/>
                </w:tcPr>
                <w:p w14:paraId="6A6C1132">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57.14%</w:t>
                  </w:r>
                </w:p>
              </w:tc>
            </w:tr>
            <w:tr w14:paraId="08F7E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DD7EE" w:fill="BDD7EE"/>
                  <w:noWrap/>
                  <w:vAlign w:val="center"/>
                </w:tcPr>
                <w:p w14:paraId="617E823B">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高速铁路客运服务</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0E74802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34A9611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0" w:type="auto"/>
                  <w:tcBorders>
                    <w:top w:val="single" w:color="FFFFFF" w:sz="4" w:space="0"/>
                    <w:left w:val="single" w:color="FFFFFF" w:sz="4" w:space="0"/>
                    <w:bottom w:val="single" w:color="FFFFFF" w:sz="4" w:space="0"/>
                    <w:right w:val="nil"/>
                  </w:tcBorders>
                  <w:shd w:val="clear" w:color="BDD7EE" w:fill="BDD7EE"/>
                  <w:noWrap/>
                  <w:vAlign w:val="bottom"/>
                </w:tcPr>
                <w:p w14:paraId="565775A0">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55.56%</w:t>
                  </w:r>
                </w:p>
              </w:tc>
            </w:tr>
            <w:tr w14:paraId="56083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DEBF7" w:fill="DDEBF7"/>
                  <w:noWrap/>
                  <w:vAlign w:val="center"/>
                </w:tcPr>
                <w:p w14:paraId="1F68AD25">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导游</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7910CCF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62A1074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FFFFFF" w:sz="4" w:space="0"/>
                    <w:left w:val="single" w:color="FFFFFF" w:sz="4" w:space="0"/>
                    <w:bottom w:val="single" w:color="FFFFFF" w:sz="4" w:space="0"/>
                    <w:right w:val="nil"/>
                  </w:tcBorders>
                  <w:shd w:val="clear" w:color="DDEBF7" w:fill="DDEBF7"/>
                  <w:noWrap/>
                  <w:vAlign w:val="bottom"/>
                </w:tcPr>
                <w:p w14:paraId="41AE2D74">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r>
            <w:tr w14:paraId="1A403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DD7EE" w:fill="BDD7EE"/>
                  <w:noWrap/>
                  <w:vAlign w:val="center"/>
                </w:tcPr>
                <w:p w14:paraId="09C4D2CB">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视觉传播设计与制作</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0609F1D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0" w:type="auto"/>
                  <w:tcBorders>
                    <w:top w:val="single" w:color="FFFFFF" w:sz="4" w:space="0"/>
                    <w:left w:val="single" w:color="FFFFFF" w:sz="4" w:space="0"/>
                    <w:bottom w:val="single" w:color="FFFFFF" w:sz="4" w:space="0"/>
                    <w:right w:val="single" w:color="FFFFFF" w:sz="4" w:space="0"/>
                  </w:tcBorders>
                  <w:shd w:val="clear" w:color="BDD7EE" w:fill="BDD7EE"/>
                  <w:noWrap/>
                  <w:vAlign w:val="center"/>
                </w:tcPr>
                <w:p w14:paraId="0E75675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FFFFFF" w:sz="4" w:space="0"/>
                    <w:left w:val="single" w:color="FFFFFF" w:sz="4" w:space="0"/>
                    <w:bottom w:val="single" w:color="FFFFFF" w:sz="4" w:space="0"/>
                    <w:right w:val="nil"/>
                  </w:tcBorders>
                  <w:shd w:val="clear" w:color="BDD7EE" w:fill="BDD7EE"/>
                  <w:noWrap/>
                  <w:vAlign w:val="bottom"/>
                </w:tcPr>
                <w:p w14:paraId="47BE2AFD">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r>
            <w:tr w14:paraId="4E002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DEBF7" w:fill="DDEBF7"/>
                  <w:noWrap/>
                  <w:vAlign w:val="center"/>
                </w:tcPr>
                <w:p w14:paraId="235719EE">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汽车检测与维修技术</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472B1E0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FFFFFF" w:sz="4" w:space="0"/>
                    <w:left w:val="single" w:color="FFFFFF" w:sz="4" w:space="0"/>
                    <w:bottom w:val="single" w:color="FFFFFF" w:sz="4" w:space="0"/>
                    <w:right w:val="single" w:color="FFFFFF" w:sz="4" w:space="0"/>
                  </w:tcBorders>
                  <w:shd w:val="clear" w:color="DDEBF7" w:fill="DDEBF7"/>
                  <w:noWrap/>
                  <w:vAlign w:val="center"/>
                </w:tcPr>
                <w:p w14:paraId="286B35D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FFFFFF" w:sz="4" w:space="0"/>
                    <w:left w:val="single" w:color="FFFFFF" w:sz="4" w:space="0"/>
                    <w:bottom w:val="single" w:color="FFFFFF" w:sz="4" w:space="0"/>
                    <w:right w:val="nil"/>
                  </w:tcBorders>
                  <w:shd w:val="clear" w:color="DDEBF7" w:fill="DDEBF7"/>
                  <w:noWrap/>
                  <w:vAlign w:val="bottom"/>
                </w:tcPr>
                <w:p w14:paraId="0273ED7A">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42E92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nil"/>
                    <w:right w:val="single" w:color="FFFFFF" w:sz="4" w:space="0"/>
                  </w:tcBorders>
                  <w:shd w:val="clear" w:color="BDD7EE" w:fill="BDD7EE"/>
                  <w:noWrap/>
                  <w:vAlign w:val="center"/>
                </w:tcPr>
                <w:p w14:paraId="7759011D">
                  <w:pPr>
                    <w:keepNext w:val="0"/>
                    <w:keepLines w:val="0"/>
                    <w:widowControl/>
                    <w:suppressLineNumbers w:val="0"/>
                    <w:jc w:val="center"/>
                    <w:textAlignment w:val="top"/>
                    <w:rPr>
                      <w:rStyle w:val="22"/>
                      <w:rFonts w:hint="eastAsia"/>
                      <w:lang w:val="en-US" w:eastAsia="zh-CN" w:bidi="ar"/>
                    </w:rPr>
                  </w:pPr>
                  <w:r>
                    <w:rPr>
                      <w:rStyle w:val="22"/>
                      <w:rFonts w:hint="eastAsia"/>
                      <w:lang w:val="en-US" w:eastAsia="zh-CN" w:bidi="ar"/>
                    </w:rPr>
                    <w:t>合计</w:t>
                  </w:r>
                </w:p>
              </w:tc>
              <w:tc>
                <w:tcPr>
                  <w:tcW w:w="0" w:type="auto"/>
                  <w:tcBorders>
                    <w:top w:val="single" w:color="FFFFFF" w:sz="4" w:space="0"/>
                    <w:left w:val="single" w:color="FFFFFF" w:sz="4" w:space="0"/>
                    <w:bottom w:val="nil"/>
                    <w:right w:val="single" w:color="FFFFFF" w:sz="4" w:space="0"/>
                  </w:tcBorders>
                  <w:shd w:val="clear" w:color="BDD7EE" w:fill="BDD7EE"/>
                  <w:noWrap/>
                  <w:vAlign w:val="center"/>
                </w:tcPr>
                <w:p w14:paraId="4C77F9A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2306</w:t>
                  </w:r>
                </w:p>
              </w:tc>
              <w:tc>
                <w:tcPr>
                  <w:tcW w:w="0" w:type="auto"/>
                  <w:tcBorders>
                    <w:top w:val="single" w:color="FFFFFF" w:sz="4" w:space="0"/>
                    <w:left w:val="single" w:color="FFFFFF" w:sz="4" w:space="0"/>
                    <w:bottom w:val="nil"/>
                    <w:right w:val="single" w:color="FFFFFF" w:sz="4" w:space="0"/>
                  </w:tcBorders>
                  <w:shd w:val="clear" w:color="BDD7EE" w:fill="BDD7EE"/>
                  <w:noWrap/>
                  <w:vAlign w:val="center"/>
                </w:tcPr>
                <w:p w14:paraId="432B4D0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1951</w:t>
                  </w:r>
                </w:p>
              </w:tc>
              <w:tc>
                <w:tcPr>
                  <w:tcW w:w="0" w:type="auto"/>
                  <w:tcBorders>
                    <w:top w:val="single" w:color="FFFFFF" w:sz="4" w:space="0"/>
                    <w:left w:val="single" w:color="FFFFFF" w:sz="4" w:space="0"/>
                    <w:bottom w:val="nil"/>
                    <w:right w:val="nil"/>
                  </w:tcBorders>
                  <w:shd w:val="clear" w:color="BDD7EE" w:fill="BDD7EE"/>
                  <w:noWrap/>
                  <w:vAlign w:val="bottom"/>
                </w:tcPr>
                <w:p w14:paraId="5D1A6EEA">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84.61%</w:t>
                  </w:r>
                </w:p>
              </w:tc>
            </w:tr>
          </w:tbl>
          <w:p w14:paraId="7332A003">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color w:val="auto"/>
                <w:sz w:val="28"/>
                <w:szCs w:val="28"/>
                <w:vertAlign w:val="baseline"/>
                <w:lang w:val="en-US" w:eastAsia="zh-CN"/>
              </w:rPr>
            </w:pPr>
          </w:p>
        </w:tc>
      </w:tr>
    </w:tbl>
    <w:p w14:paraId="1ABA441B">
      <w:pPr>
        <w:rPr>
          <w:b/>
          <w:bCs/>
          <w:sz w:val="32"/>
          <w:szCs w:val="32"/>
        </w:rPr>
      </w:pPr>
    </w:p>
    <w:p w14:paraId="258352BD">
      <w:pPr>
        <w:rPr>
          <w:b/>
          <w:bCs/>
          <w:sz w:val="32"/>
          <w:szCs w:val="32"/>
        </w:rPr>
      </w:pPr>
    </w:p>
    <w:p w14:paraId="415FA1B1">
      <w:pPr>
        <w:rPr>
          <w:b/>
          <w:bCs/>
          <w:sz w:val="32"/>
          <w:szCs w:val="32"/>
        </w:rPr>
      </w:pPr>
    </w:p>
    <w:p w14:paraId="4CC2E2FC">
      <w:pPr>
        <w:pStyle w:val="21"/>
        <w:numPr>
          <w:ilvl w:val="0"/>
          <w:numId w:val="2"/>
        </w:numPr>
        <w:ind w:left="0" w:leftChars="0"/>
        <w:jc w:val="center"/>
        <w:outlineLvl w:val="0"/>
        <w:rPr>
          <w:rFonts w:hint="eastAsia" w:ascii="黑体" w:hAnsi="黑体" w:eastAsia="黑体" w:cs="黑体"/>
          <w:color w:val="auto"/>
          <w:sz w:val="44"/>
          <w:szCs w:val="44"/>
          <w:lang w:val="en-US" w:eastAsia="zh-CN" w:bidi="zh-CN"/>
        </w:rPr>
      </w:pPr>
      <w:r>
        <w:rPr>
          <w:rFonts w:hint="eastAsia" w:ascii="黑体" w:hAnsi="黑体" w:eastAsia="黑体" w:cs="黑体"/>
          <w:color w:val="auto"/>
          <w:sz w:val="44"/>
          <w:szCs w:val="44"/>
          <w:lang w:val="zh-CN" w:eastAsia="zh-CN" w:bidi="zh-CN"/>
        </w:rPr>
        <w:t xml:space="preserve"> </w:t>
      </w:r>
      <w:bookmarkStart w:id="24" w:name="_Toc26361"/>
      <w:r>
        <w:rPr>
          <w:rFonts w:hint="eastAsia" w:ascii="黑体" w:hAnsi="黑体" w:eastAsia="黑体" w:cs="黑体"/>
          <w:color w:val="auto"/>
          <w:sz w:val="44"/>
          <w:szCs w:val="44"/>
          <w:lang w:val="zh-CN" w:eastAsia="zh-CN" w:bidi="zh-CN"/>
        </w:rPr>
        <w:t>就业</w:t>
      </w:r>
      <w:r>
        <w:rPr>
          <w:rFonts w:hint="eastAsia" w:ascii="黑体" w:hAnsi="黑体" w:eastAsia="黑体" w:cs="黑体"/>
          <w:color w:val="auto"/>
          <w:sz w:val="44"/>
          <w:szCs w:val="44"/>
          <w:lang w:val="en-US" w:eastAsia="zh-CN" w:bidi="zh-CN"/>
        </w:rPr>
        <w:t>行业分布与地域分布</w:t>
      </w:r>
      <w:bookmarkEnd w:id="24"/>
    </w:p>
    <w:p w14:paraId="2852F3C6">
      <w:pPr>
        <w:pStyle w:val="21"/>
        <w:keepNext w:val="0"/>
        <w:keepLines w:val="0"/>
        <w:pageBreakBefore w:val="0"/>
        <w:widowControl/>
        <w:kinsoku/>
        <w:wordWrap/>
        <w:overflowPunct/>
        <w:topLinePunct w:val="0"/>
        <w:autoSpaceDE/>
        <w:autoSpaceDN/>
        <w:bidi w:val="0"/>
        <w:adjustRightInd/>
        <w:snapToGrid/>
        <w:spacing w:line="560" w:lineRule="exact"/>
        <w:ind w:left="0" w:leftChars="0" w:firstLine="560" w:firstLineChars="200"/>
        <w:textAlignment w:val="auto"/>
        <w:outlineLvl w:val="1"/>
        <w:rPr>
          <w:rFonts w:hint="eastAsia" w:asciiTheme="minorEastAsia" w:hAnsiTheme="minorEastAsia" w:eastAsiaTheme="minorEastAsia" w:cstheme="minorEastAsia"/>
          <w:sz w:val="28"/>
          <w:szCs w:val="36"/>
          <w:lang w:val="zh-CN" w:eastAsia="zh-CN" w:bidi="zh-CN"/>
        </w:rPr>
      </w:pPr>
      <w:bookmarkStart w:id="25" w:name="_Toc7008"/>
      <w:r>
        <w:rPr>
          <w:rFonts w:hint="eastAsia" w:asciiTheme="minorEastAsia" w:hAnsiTheme="minorEastAsia" w:eastAsiaTheme="minorEastAsia" w:cstheme="minorEastAsia"/>
          <w:sz w:val="28"/>
          <w:szCs w:val="36"/>
          <w:lang w:val="zh-CN" w:eastAsia="zh-CN" w:bidi="zh-CN"/>
        </w:rPr>
        <w:fldChar w:fldCharType="begin"/>
      </w:r>
      <w:r>
        <w:rPr>
          <w:rFonts w:hint="eastAsia" w:asciiTheme="minorEastAsia" w:hAnsiTheme="minorEastAsia" w:eastAsiaTheme="minorEastAsia" w:cstheme="minorEastAsia"/>
          <w:sz w:val="28"/>
          <w:szCs w:val="36"/>
          <w:lang w:val="zh-CN" w:eastAsia="zh-CN" w:bidi="zh-CN"/>
        </w:rPr>
        <w:instrText xml:space="preserve"> HYPERLINK \l _Toc10607 </w:instrText>
      </w:r>
      <w:r>
        <w:rPr>
          <w:rFonts w:hint="eastAsia" w:asciiTheme="minorEastAsia" w:hAnsiTheme="minorEastAsia" w:eastAsiaTheme="minorEastAsia" w:cstheme="minorEastAsia"/>
          <w:sz w:val="28"/>
          <w:szCs w:val="36"/>
          <w:lang w:val="zh-CN" w:eastAsia="zh-CN" w:bidi="zh-CN"/>
        </w:rPr>
        <w:fldChar w:fldCharType="separate"/>
      </w:r>
      <w:r>
        <w:rPr>
          <w:rFonts w:hint="eastAsia" w:ascii="黑体" w:hAnsi="黑体" w:eastAsia="黑体" w:cs="黑体"/>
          <w:b w:val="0"/>
          <w:bCs w:val="0"/>
          <w:color w:val="auto"/>
          <w:sz w:val="32"/>
          <w:szCs w:val="32"/>
          <w:lang w:val="en-US" w:eastAsia="zh-CN" w:bidi="zh-CN"/>
        </w:rPr>
        <w:t>一、就业行业分布特点</w:t>
      </w:r>
      <w:r>
        <w:rPr>
          <w:rFonts w:hint="eastAsia" w:asciiTheme="minorEastAsia" w:hAnsiTheme="minorEastAsia" w:eastAsiaTheme="minorEastAsia" w:cstheme="minorEastAsia"/>
          <w:sz w:val="28"/>
          <w:szCs w:val="36"/>
          <w:lang w:val="zh-CN" w:eastAsia="zh-CN" w:bidi="zh-CN"/>
        </w:rPr>
        <w:tab/>
      </w:r>
      <w:r>
        <w:rPr>
          <w:rFonts w:hint="eastAsia" w:asciiTheme="minorEastAsia" w:hAnsiTheme="minorEastAsia" w:eastAsiaTheme="minorEastAsia" w:cstheme="minorEastAsia"/>
          <w:sz w:val="28"/>
          <w:szCs w:val="36"/>
          <w:lang w:val="zh-CN" w:eastAsia="zh-CN" w:bidi="zh-CN"/>
        </w:rPr>
        <w:fldChar w:fldCharType="end"/>
      </w:r>
      <w:bookmarkEnd w:id="25"/>
    </w:p>
    <w:p w14:paraId="0E447558">
      <w:pPr>
        <w:pStyle w:val="21"/>
        <w:keepNext w:val="0"/>
        <w:keepLines w:val="0"/>
        <w:pageBreakBefore w:val="0"/>
        <w:kinsoku/>
        <w:wordWrap/>
        <w:overflowPunct/>
        <w:topLinePunct w:val="0"/>
        <w:bidi w:val="0"/>
        <w:adjustRightInd/>
        <w:snapToGrid/>
        <w:spacing w:line="560" w:lineRule="exact"/>
        <w:ind w:left="0" w:leftChars="0" w:firstLine="602" w:firstLineChars="200"/>
        <w:textAlignment w:val="auto"/>
        <w:outlineLvl w:val="2"/>
        <w:rPr>
          <w:rFonts w:hint="eastAsia" w:ascii="宋体" w:hAnsi="宋体" w:eastAsia="宋体" w:cs="宋体"/>
          <w:b/>
          <w:bCs/>
          <w:sz w:val="30"/>
          <w:szCs w:val="30"/>
          <w:lang w:val="en-US" w:eastAsia="zh-CN" w:bidi="zh-CN"/>
        </w:rPr>
      </w:pPr>
      <w:bookmarkStart w:id="26" w:name="_Toc31870"/>
      <w:r>
        <w:rPr>
          <w:rFonts w:hint="eastAsia" w:ascii="宋体" w:hAnsi="宋体" w:eastAsia="宋体" w:cs="宋体"/>
          <w:b/>
          <w:bCs/>
          <w:sz w:val="30"/>
          <w:szCs w:val="30"/>
          <w:lang w:val="en-US" w:eastAsia="zh-CN" w:bidi="zh-CN"/>
        </w:rPr>
        <w:t>（一）就业单位行业分析</w:t>
      </w:r>
      <w:bookmarkEnd w:id="26"/>
    </w:p>
    <w:p w14:paraId="72591C1F">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1"/>
        <w:rPr>
          <w:rFonts w:hint="eastAsia" w:ascii="仿宋" w:hAnsi="仿宋" w:eastAsia="仿宋" w:cs="仿宋"/>
          <w:b w:val="0"/>
          <w:bCs/>
          <w:snapToGrid/>
          <w:kern w:val="2"/>
          <w:sz w:val="32"/>
          <w:szCs w:val="32"/>
          <w:lang w:val="en-US" w:eastAsia="zh-CN" w:bidi="ar-SA"/>
        </w:rPr>
      </w:pPr>
      <w:r>
        <w:rPr>
          <w:rFonts w:hint="eastAsia" w:ascii="仿宋" w:hAnsi="仿宋" w:eastAsia="仿宋" w:cs="仿宋"/>
          <w:color w:val="auto"/>
          <w:sz w:val="32"/>
          <w:szCs w:val="32"/>
          <w:lang w:val="en-US" w:eastAsia="zh-CN"/>
        </w:rPr>
        <w:t>按就业单位行业统计，在制造业就业的占15.3%；在建筑业就业的占12.2%；在批发和零售业就业的14.1%。较23届，24届毕业生在卫生和社会工作，制造业，科学研究和技术服务业等行业毕业生比例均有增加，具体行业分布如下表：</w:t>
      </w:r>
    </w:p>
    <w:p w14:paraId="6CA2F7B5">
      <w:pPr>
        <w:pStyle w:val="21"/>
        <w:keepNext w:val="0"/>
        <w:keepLines w:val="0"/>
        <w:pageBreakBefore w:val="0"/>
        <w:kinsoku/>
        <w:wordWrap/>
        <w:overflowPunct/>
        <w:topLinePunct w:val="0"/>
        <w:bidi w:val="0"/>
        <w:adjustRightInd/>
        <w:snapToGrid/>
        <w:spacing w:line="560" w:lineRule="exact"/>
        <w:ind w:firstLine="560" w:firstLineChars="200"/>
        <w:textAlignment w:val="auto"/>
        <w:rPr>
          <w:rFonts w:hint="eastAsia" w:asciiTheme="minorEastAsia" w:hAnsiTheme="minorEastAsia" w:eastAsiaTheme="minorEastAsia" w:cstheme="minorEastAsia"/>
          <w:color w:val="auto"/>
          <w:sz w:val="28"/>
          <w:szCs w:val="28"/>
          <w:lang w:val="en-US" w:eastAsia="zh-CN" w:bidi="zh-CN"/>
        </w:rPr>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66"/>
      </w:tblGrid>
      <w:tr w14:paraId="4C594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trPr>
        <w:tc>
          <w:tcPr>
            <w:tcW w:w="8766" w:type="dxa"/>
          </w:tcPr>
          <w:p w14:paraId="4361CDAE">
            <w:pPr>
              <w:spacing w:before="0" w:line="309" w:lineRule="exact"/>
              <w:ind w:left="0" w:right="0" w:firstLine="0"/>
              <w:jc w:val="center"/>
              <w:rPr>
                <w:rFonts w:hint="default" w:asciiTheme="minorEastAsia" w:hAnsiTheme="minorEastAsia" w:eastAsiaTheme="minorEastAsia" w:cstheme="minorEastAsia"/>
                <w:color w:val="auto"/>
                <w:sz w:val="28"/>
                <w:szCs w:val="28"/>
                <w:vertAlign w:val="baseline"/>
                <w:lang w:val="en-US" w:eastAsia="zh-CN"/>
              </w:rPr>
            </w:pPr>
            <w:r>
              <w:rPr>
                <w:rFonts w:hint="eastAsia" w:ascii="宋体" w:hAnsi="宋体" w:eastAsia="宋体" w:cs="宋体"/>
                <w:color w:val="auto"/>
                <w:sz w:val="24"/>
                <w:szCs w:val="24"/>
                <w:lang w:val="en-US" w:eastAsia="zh-CN" w:bidi="zh-CN"/>
              </w:rPr>
              <w:t>表3 2024 届毕业生就业单位行业人数分布表</w:t>
            </w:r>
          </w:p>
        </w:tc>
      </w:tr>
      <w:tr w14:paraId="59E35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6" w:hRule="atLeast"/>
        </w:trPr>
        <w:tc>
          <w:tcPr>
            <w:tcW w:w="8766" w:type="dxa"/>
          </w:tcPr>
          <w:tbl>
            <w:tblPr>
              <w:tblStyle w:val="12"/>
              <w:tblW w:w="72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635"/>
              <w:gridCol w:w="1425"/>
              <w:gridCol w:w="1200"/>
            </w:tblGrid>
            <w:tr w14:paraId="0AF7F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80" w:hRule="atLeast"/>
                <w:jc w:val="center"/>
              </w:trPr>
              <w:tc>
                <w:tcPr>
                  <w:tcW w:w="4635" w:type="dxa"/>
                  <w:tcBorders>
                    <w:top w:val="single" w:color="5B9BD5" w:sz="4" w:space="0"/>
                    <w:left w:val="single" w:color="5B9BD5" w:sz="4" w:space="0"/>
                    <w:bottom w:val="single" w:color="9BC2E6" w:sz="4" w:space="0"/>
                    <w:right w:val="nil"/>
                  </w:tcBorders>
                  <w:shd w:val="clear" w:color="5B9BD5" w:fill="5B9BD5"/>
                  <w:vAlign w:val="top"/>
                </w:tcPr>
                <w:p w14:paraId="559E63ED">
                  <w:pPr>
                    <w:keepNext w:val="0"/>
                    <w:keepLines w:val="0"/>
                    <w:widowControl/>
                    <w:suppressLineNumbers w:val="0"/>
                    <w:jc w:val="center"/>
                    <w:textAlignment w:val="top"/>
                    <w:rPr>
                      <w:rFonts w:ascii="Arial" w:hAnsi="Arial" w:cs="Arial"/>
                      <w:b/>
                      <w:bCs/>
                      <w:i w:val="0"/>
                      <w:iCs w:val="0"/>
                      <w:color w:val="FFFFFF"/>
                      <w:sz w:val="22"/>
                      <w:szCs w:val="22"/>
                      <w:u w:val="none"/>
                    </w:rPr>
                  </w:pPr>
                  <w:r>
                    <w:rPr>
                      <w:rFonts w:hint="default" w:ascii="Arial" w:hAnsi="Arial" w:eastAsia="宋体" w:cs="Arial"/>
                      <w:b/>
                      <w:bCs/>
                      <w:i w:val="0"/>
                      <w:iCs w:val="0"/>
                      <w:color w:val="FFFFFF"/>
                      <w:kern w:val="0"/>
                      <w:sz w:val="22"/>
                      <w:szCs w:val="22"/>
                      <w:u w:val="none"/>
                      <w:lang w:val="en-US" w:eastAsia="zh-CN" w:bidi="ar"/>
                    </w:rPr>
                    <w:t>就业单位行业分布</w:t>
                  </w:r>
                </w:p>
              </w:tc>
              <w:tc>
                <w:tcPr>
                  <w:tcW w:w="1425" w:type="dxa"/>
                  <w:tcBorders>
                    <w:top w:val="single" w:color="5B9BD5" w:sz="4" w:space="0"/>
                    <w:left w:val="nil"/>
                    <w:bottom w:val="single" w:color="9BC2E6" w:sz="4" w:space="0"/>
                    <w:right w:val="nil"/>
                  </w:tcBorders>
                  <w:shd w:val="clear" w:color="5B9BD5" w:fill="5B9BD5"/>
                  <w:vAlign w:val="top"/>
                </w:tcPr>
                <w:p w14:paraId="21D7B58D">
                  <w:pPr>
                    <w:keepNext w:val="0"/>
                    <w:keepLines w:val="0"/>
                    <w:widowControl/>
                    <w:suppressLineNumbers w:val="0"/>
                    <w:jc w:val="center"/>
                    <w:textAlignment w:val="top"/>
                    <w:rPr>
                      <w:rFonts w:hint="default" w:ascii="Arial" w:hAnsi="Arial" w:cs="Arial"/>
                      <w:b/>
                      <w:bCs/>
                      <w:i w:val="0"/>
                      <w:iCs w:val="0"/>
                      <w:color w:val="FFFFFF"/>
                      <w:sz w:val="22"/>
                      <w:szCs w:val="22"/>
                      <w:u w:val="none"/>
                    </w:rPr>
                  </w:pPr>
                  <w:r>
                    <w:rPr>
                      <w:rFonts w:hint="default" w:ascii="Arial" w:hAnsi="Arial" w:eastAsia="宋体" w:cs="Arial"/>
                      <w:b/>
                      <w:bCs/>
                      <w:i w:val="0"/>
                      <w:iCs w:val="0"/>
                      <w:color w:val="FFFFFF"/>
                      <w:kern w:val="0"/>
                      <w:sz w:val="22"/>
                      <w:szCs w:val="22"/>
                      <w:u w:val="none"/>
                      <w:lang w:val="en-US" w:eastAsia="zh-CN" w:bidi="ar"/>
                    </w:rPr>
                    <w:t>专科就业人数</w:t>
                  </w:r>
                </w:p>
              </w:tc>
              <w:tc>
                <w:tcPr>
                  <w:tcW w:w="1200" w:type="dxa"/>
                  <w:tcBorders>
                    <w:top w:val="single" w:color="5B9BD5" w:sz="4" w:space="0"/>
                    <w:left w:val="nil"/>
                    <w:bottom w:val="single" w:color="9BC2E6" w:sz="4" w:space="0"/>
                    <w:right w:val="single" w:color="5B9BD5" w:sz="4" w:space="0"/>
                  </w:tcBorders>
                  <w:shd w:val="clear" w:color="5B9BD5" w:fill="5B9BD5"/>
                  <w:vAlign w:val="top"/>
                </w:tcPr>
                <w:p w14:paraId="332AD080">
                  <w:pPr>
                    <w:keepNext w:val="0"/>
                    <w:keepLines w:val="0"/>
                    <w:widowControl/>
                    <w:suppressLineNumbers w:val="0"/>
                    <w:jc w:val="center"/>
                    <w:textAlignment w:val="top"/>
                    <w:rPr>
                      <w:rFonts w:hint="default" w:ascii="Arial" w:hAnsi="Arial" w:cs="Arial"/>
                      <w:b/>
                      <w:bCs/>
                      <w:i w:val="0"/>
                      <w:iCs w:val="0"/>
                      <w:color w:val="FFFFFF"/>
                      <w:sz w:val="22"/>
                      <w:szCs w:val="22"/>
                      <w:u w:val="none"/>
                    </w:rPr>
                  </w:pPr>
                  <w:r>
                    <w:rPr>
                      <w:rFonts w:hint="default" w:ascii="Arial" w:hAnsi="Arial" w:eastAsia="宋体" w:cs="Arial"/>
                      <w:b/>
                      <w:bCs/>
                      <w:i w:val="0"/>
                      <w:iCs w:val="0"/>
                      <w:color w:val="FFFFFF"/>
                      <w:kern w:val="0"/>
                      <w:sz w:val="22"/>
                      <w:szCs w:val="22"/>
                      <w:u w:val="none"/>
                      <w:lang w:val="en-US" w:eastAsia="zh-CN" w:bidi="ar"/>
                    </w:rPr>
                    <w:t>各分部占比</w:t>
                  </w:r>
                </w:p>
              </w:tc>
            </w:tr>
            <w:tr w14:paraId="4F3FA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4635" w:type="dxa"/>
                  <w:tcBorders>
                    <w:top w:val="single" w:color="9BC2E6" w:sz="4" w:space="0"/>
                    <w:left w:val="single" w:color="5B9BD5" w:sz="4" w:space="0"/>
                    <w:bottom w:val="single" w:color="9BC2E6" w:sz="4" w:space="0"/>
                    <w:right w:val="nil"/>
                  </w:tcBorders>
                  <w:shd w:val="clear" w:color="DDEBF7" w:fill="DDEBF7"/>
                  <w:vAlign w:val="top"/>
                </w:tcPr>
                <w:p w14:paraId="1745FC4A">
                  <w:pPr>
                    <w:keepNext w:val="0"/>
                    <w:keepLines w:val="0"/>
                    <w:widowControl/>
                    <w:suppressLineNumbers w:val="0"/>
                    <w:jc w:val="center"/>
                    <w:textAlignment w:val="top"/>
                    <w:rPr>
                      <w:rStyle w:val="22"/>
                      <w:rFonts w:hint="default"/>
                      <w:lang w:val="en-US" w:eastAsia="zh-CN" w:bidi="ar"/>
                    </w:rPr>
                  </w:pPr>
                  <w:r>
                    <w:rPr>
                      <w:rStyle w:val="22"/>
                      <w:rFonts w:hint="default"/>
                      <w:lang w:val="en-US" w:eastAsia="zh-CN" w:bidi="ar"/>
                    </w:rPr>
                    <w:t>农、林、牧、渔业</w:t>
                  </w:r>
                </w:p>
              </w:tc>
              <w:tc>
                <w:tcPr>
                  <w:tcW w:w="1425" w:type="dxa"/>
                  <w:tcBorders>
                    <w:top w:val="single" w:color="9BC2E6" w:sz="4" w:space="0"/>
                    <w:left w:val="nil"/>
                    <w:bottom w:val="single" w:color="9BC2E6" w:sz="4" w:space="0"/>
                    <w:right w:val="nil"/>
                  </w:tcBorders>
                  <w:shd w:val="clear" w:color="DDEBF7" w:fill="DDEBF7"/>
                  <w:vAlign w:val="top"/>
                </w:tcPr>
                <w:p w14:paraId="4C1D49A0">
                  <w:pPr>
                    <w:keepNext w:val="0"/>
                    <w:keepLines w:val="0"/>
                    <w:widowControl/>
                    <w:suppressLineNumbers w:val="0"/>
                    <w:jc w:val="center"/>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40</w:t>
                  </w:r>
                </w:p>
              </w:tc>
              <w:tc>
                <w:tcPr>
                  <w:tcW w:w="1200" w:type="dxa"/>
                  <w:tcBorders>
                    <w:top w:val="single" w:color="9BC2E6" w:sz="4" w:space="0"/>
                    <w:left w:val="nil"/>
                    <w:bottom w:val="single" w:color="9BC2E6" w:sz="4" w:space="0"/>
                    <w:right w:val="single" w:color="5B9BD5" w:sz="4" w:space="0"/>
                  </w:tcBorders>
                  <w:shd w:val="clear" w:color="DDEBF7" w:fill="DDEBF7"/>
                  <w:vAlign w:val="top"/>
                </w:tcPr>
                <w:p w14:paraId="0EBF3856">
                  <w:pPr>
                    <w:keepNext w:val="0"/>
                    <w:keepLines w:val="0"/>
                    <w:widowControl/>
                    <w:suppressLineNumbers w:val="0"/>
                    <w:jc w:val="center"/>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3.40%</w:t>
                  </w:r>
                </w:p>
              </w:tc>
            </w:tr>
            <w:tr w14:paraId="031FB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jc w:val="center"/>
              </w:trPr>
              <w:tc>
                <w:tcPr>
                  <w:tcW w:w="4635" w:type="dxa"/>
                  <w:tcBorders>
                    <w:top w:val="single" w:color="9BC2E6" w:sz="4" w:space="0"/>
                    <w:left w:val="single" w:color="5B9BD5" w:sz="4" w:space="0"/>
                    <w:bottom w:val="single" w:color="9BC2E6" w:sz="4" w:space="0"/>
                    <w:right w:val="nil"/>
                  </w:tcBorders>
                  <w:shd w:val="clear" w:color="auto" w:fill="auto"/>
                  <w:vAlign w:val="top"/>
                </w:tcPr>
                <w:p w14:paraId="65F76DDE">
                  <w:pPr>
                    <w:keepNext w:val="0"/>
                    <w:keepLines w:val="0"/>
                    <w:widowControl/>
                    <w:suppressLineNumbers w:val="0"/>
                    <w:jc w:val="center"/>
                    <w:textAlignment w:val="top"/>
                    <w:rPr>
                      <w:rStyle w:val="22"/>
                      <w:rFonts w:hint="default"/>
                      <w:lang w:val="en-US" w:eastAsia="zh-CN" w:bidi="ar"/>
                    </w:rPr>
                  </w:pPr>
                  <w:r>
                    <w:rPr>
                      <w:rStyle w:val="22"/>
                      <w:lang w:val="en-US" w:eastAsia="zh-CN" w:bidi="ar"/>
                    </w:rPr>
                    <w:t>采矿业</w:t>
                  </w:r>
                </w:p>
              </w:tc>
              <w:tc>
                <w:tcPr>
                  <w:tcW w:w="1425" w:type="dxa"/>
                  <w:tcBorders>
                    <w:top w:val="single" w:color="9BC2E6" w:sz="4" w:space="0"/>
                    <w:left w:val="nil"/>
                    <w:bottom w:val="single" w:color="9BC2E6" w:sz="4" w:space="0"/>
                    <w:right w:val="nil"/>
                  </w:tcBorders>
                  <w:shd w:val="clear" w:color="auto" w:fill="auto"/>
                  <w:vAlign w:val="top"/>
                </w:tcPr>
                <w:p w14:paraId="4D2DD747">
                  <w:pPr>
                    <w:keepNext w:val="0"/>
                    <w:keepLines w:val="0"/>
                    <w:widowControl/>
                    <w:suppressLineNumbers w:val="0"/>
                    <w:jc w:val="center"/>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w:t>
                  </w:r>
                </w:p>
              </w:tc>
              <w:tc>
                <w:tcPr>
                  <w:tcW w:w="1200" w:type="dxa"/>
                  <w:tcBorders>
                    <w:top w:val="single" w:color="9BC2E6" w:sz="4" w:space="0"/>
                    <w:left w:val="nil"/>
                    <w:bottom w:val="single" w:color="9BC2E6" w:sz="4" w:space="0"/>
                    <w:right w:val="single" w:color="5B9BD5" w:sz="4" w:space="0"/>
                  </w:tcBorders>
                  <w:shd w:val="clear" w:color="auto" w:fill="auto"/>
                  <w:vAlign w:val="top"/>
                </w:tcPr>
                <w:p w14:paraId="0A6E107D">
                  <w:pPr>
                    <w:keepNext w:val="0"/>
                    <w:keepLines w:val="0"/>
                    <w:widowControl/>
                    <w:suppressLineNumbers w:val="0"/>
                    <w:jc w:val="center"/>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0.10%</w:t>
                  </w:r>
                </w:p>
              </w:tc>
            </w:tr>
            <w:tr w14:paraId="43474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4635" w:type="dxa"/>
                  <w:tcBorders>
                    <w:top w:val="single" w:color="9BC2E6" w:sz="4" w:space="0"/>
                    <w:left w:val="single" w:color="5B9BD5" w:sz="4" w:space="0"/>
                    <w:bottom w:val="single" w:color="9BC2E6" w:sz="4" w:space="0"/>
                    <w:right w:val="nil"/>
                  </w:tcBorders>
                  <w:shd w:val="clear" w:color="DDEBF7" w:fill="DDEBF7"/>
                  <w:vAlign w:val="top"/>
                </w:tcPr>
                <w:p w14:paraId="7BC1F162">
                  <w:pPr>
                    <w:keepNext w:val="0"/>
                    <w:keepLines w:val="0"/>
                    <w:widowControl/>
                    <w:suppressLineNumbers w:val="0"/>
                    <w:jc w:val="center"/>
                    <w:textAlignment w:val="top"/>
                    <w:rPr>
                      <w:rStyle w:val="22"/>
                      <w:rFonts w:hint="default"/>
                      <w:lang w:val="en-US" w:eastAsia="zh-CN" w:bidi="ar"/>
                    </w:rPr>
                  </w:pPr>
                  <w:r>
                    <w:rPr>
                      <w:rStyle w:val="22"/>
                      <w:rFonts w:hint="default"/>
                      <w:lang w:val="en-US" w:eastAsia="zh-CN" w:bidi="ar"/>
                    </w:rPr>
                    <w:t>制造业</w:t>
                  </w:r>
                </w:p>
              </w:tc>
              <w:tc>
                <w:tcPr>
                  <w:tcW w:w="1425" w:type="dxa"/>
                  <w:tcBorders>
                    <w:top w:val="single" w:color="9BC2E6" w:sz="4" w:space="0"/>
                    <w:left w:val="nil"/>
                    <w:bottom w:val="single" w:color="9BC2E6" w:sz="4" w:space="0"/>
                    <w:right w:val="nil"/>
                  </w:tcBorders>
                  <w:shd w:val="clear" w:color="DDEBF7" w:fill="DDEBF7"/>
                  <w:vAlign w:val="top"/>
                </w:tcPr>
                <w:p w14:paraId="109AB05D">
                  <w:pPr>
                    <w:keepNext w:val="0"/>
                    <w:keepLines w:val="0"/>
                    <w:widowControl/>
                    <w:suppressLineNumbers w:val="0"/>
                    <w:jc w:val="center"/>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176</w:t>
                  </w:r>
                </w:p>
              </w:tc>
              <w:tc>
                <w:tcPr>
                  <w:tcW w:w="1200" w:type="dxa"/>
                  <w:tcBorders>
                    <w:top w:val="single" w:color="9BC2E6" w:sz="4" w:space="0"/>
                    <w:left w:val="nil"/>
                    <w:bottom w:val="single" w:color="9BC2E6" w:sz="4" w:space="0"/>
                    <w:right w:val="single" w:color="5B9BD5" w:sz="4" w:space="0"/>
                  </w:tcBorders>
                  <w:shd w:val="clear" w:color="DDEBF7" w:fill="DDEBF7"/>
                  <w:vAlign w:val="top"/>
                </w:tcPr>
                <w:p w14:paraId="11C380BB">
                  <w:pPr>
                    <w:keepNext w:val="0"/>
                    <w:keepLines w:val="0"/>
                    <w:widowControl/>
                    <w:suppressLineNumbers w:val="0"/>
                    <w:jc w:val="center"/>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15.30%</w:t>
                  </w:r>
                </w:p>
              </w:tc>
            </w:tr>
            <w:tr w14:paraId="46411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jc w:val="center"/>
              </w:trPr>
              <w:tc>
                <w:tcPr>
                  <w:tcW w:w="4635" w:type="dxa"/>
                  <w:tcBorders>
                    <w:top w:val="single" w:color="9BC2E6" w:sz="4" w:space="0"/>
                    <w:left w:val="single" w:color="5B9BD5" w:sz="4" w:space="0"/>
                    <w:bottom w:val="single" w:color="9BC2E6" w:sz="4" w:space="0"/>
                    <w:right w:val="nil"/>
                  </w:tcBorders>
                  <w:shd w:val="clear" w:color="auto" w:fill="auto"/>
                  <w:vAlign w:val="top"/>
                </w:tcPr>
                <w:p w14:paraId="178CB97B">
                  <w:pPr>
                    <w:keepNext w:val="0"/>
                    <w:keepLines w:val="0"/>
                    <w:widowControl/>
                    <w:suppressLineNumbers w:val="0"/>
                    <w:jc w:val="center"/>
                    <w:textAlignment w:val="top"/>
                    <w:rPr>
                      <w:rStyle w:val="22"/>
                      <w:rFonts w:hint="default"/>
                      <w:lang w:val="en-US" w:eastAsia="zh-CN" w:bidi="ar"/>
                    </w:rPr>
                  </w:pPr>
                  <w:r>
                    <w:rPr>
                      <w:rStyle w:val="22"/>
                      <w:lang w:val="en-US" w:eastAsia="zh-CN" w:bidi="ar"/>
                    </w:rPr>
                    <w:t>电力、热力、燃气及水生产和供应业</w:t>
                  </w:r>
                </w:p>
              </w:tc>
              <w:tc>
                <w:tcPr>
                  <w:tcW w:w="1425" w:type="dxa"/>
                  <w:tcBorders>
                    <w:top w:val="single" w:color="9BC2E6" w:sz="4" w:space="0"/>
                    <w:left w:val="nil"/>
                    <w:bottom w:val="single" w:color="9BC2E6" w:sz="4" w:space="0"/>
                    <w:right w:val="nil"/>
                  </w:tcBorders>
                  <w:shd w:val="clear" w:color="auto" w:fill="auto"/>
                  <w:vAlign w:val="top"/>
                </w:tcPr>
                <w:p w14:paraId="50C5C36D">
                  <w:pPr>
                    <w:keepNext w:val="0"/>
                    <w:keepLines w:val="0"/>
                    <w:widowControl/>
                    <w:suppressLineNumbers w:val="0"/>
                    <w:jc w:val="center"/>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23</w:t>
                  </w:r>
                </w:p>
              </w:tc>
              <w:tc>
                <w:tcPr>
                  <w:tcW w:w="1200" w:type="dxa"/>
                  <w:tcBorders>
                    <w:top w:val="single" w:color="9BC2E6" w:sz="4" w:space="0"/>
                    <w:left w:val="nil"/>
                    <w:bottom w:val="single" w:color="9BC2E6" w:sz="4" w:space="0"/>
                    <w:right w:val="single" w:color="5B9BD5" w:sz="4" w:space="0"/>
                  </w:tcBorders>
                  <w:shd w:val="clear" w:color="auto" w:fill="auto"/>
                  <w:vAlign w:val="top"/>
                </w:tcPr>
                <w:p w14:paraId="43D8B3A7">
                  <w:pPr>
                    <w:keepNext w:val="0"/>
                    <w:keepLines w:val="0"/>
                    <w:widowControl/>
                    <w:suppressLineNumbers w:val="0"/>
                    <w:jc w:val="center"/>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w:t>
                  </w:r>
                </w:p>
              </w:tc>
            </w:tr>
            <w:tr w14:paraId="4C1F4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4635" w:type="dxa"/>
                  <w:tcBorders>
                    <w:top w:val="single" w:color="9BC2E6" w:sz="4" w:space="0"/>
                    <w:left w:val="single" w:color="5B9BD5" w:sz="4" w:space="0"/>
                    <w:bottom w:val="single" w:color="9BC2E6" w:sz="4" w:space="0"/>
                    <w:right w:val="nil"/>
                  </w:tcBorders>
                  <w:shd w:val="clear" w:color="DDEBF7" w:fill="DDEBF7"/>
                  <w:vAlign w:val="top"/>
                </w:tcPr>
                <w:p w14:paraId="4B90001E">
                  <w:pPr>
                    <w:keepNext w:val="0"/>
                    <w:keepLines w:val="0"/>
                    <w:widowControl/>
                    <w:suppressLineNumbers w:val="0"/>
                    <w:jc w:val="center"/>
                    <w:textAlignment w:val="top"/>
                    <w:rPr>
                      <w:rStyle w:val="22"/>
                      <w:rFonts w:hint="default"/>
                      <w:lang w:val="en-US" w:eastAsia="zh-CN" w:bidi="ar"/>
                    </w:rPr>
                  </w:pPr>
                  <w:r>
                    <w:rPr>
                      <w:rStyle w:val="22"/>
                      <w:rFonts w:hint="default"/>
                      <w:lang w:val="en-US" w:eastAsia="zh-CN" w:bidi="ar"/>
                    </w:rPr>
                    <w:t>建筑业</w:t>
                  </w:r>
                </w:p>
              </w:tc>
              <w:tc>
                <w:tcPr>
                  <w:tcW w:w="1425" w:type="dxa"/>
                  <w:tcBorders>
                    <w:top w:val="single" w:color="9BC2E6" w:sz="4" w:space="0"/>
                    <w:left w:val="nil"/>
                    <w:bottom w:val="single" w:color="9BC2E6" w:sz="4" w:space="0"/>
                    <w:right w:val="nil"/>
                  </w:tcBorders>
                  <w:shd w:val="clear" w:color="DDEBF7" w:fill="DDEBF7"/>
                  <w:vAlign w:val="top"/>
                </w:tcPr>
                <w:p w14:paraId="6585AB39">
                  <w:pPr>
                    <w:keepNext w:val="0"/>
                    <w:keepLines w:val="0"/>
                    <w:widowControl/>
                    <w:suppressLineNumbers w:val="0"/>
                    <w:jc w:val="center"/>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141</w:t>
                  </w:r>
                </w:p>
              </w:tc>
              <w:tc>
                <w:tcPr>
                  <w:tcW w:w="1200" w:type="dxa"/>
                  <w:tcBorders>
                    <w:top w:val="single" w:color="9BC2E6" w:sz="4" w:space="0"/>
                    <w:left w:val="nil"/>
                    <w:bottom w:val="single" w:color="9BC2E6" w:sz="4" w:space="0"/>
                    <w:right w:val="single" w:color="5B9BD5" w:sz="4" w:space="0"/>
                  </w:tcBorders>
                  <w:shd w:val="clear" w:color="DDEBF7" w:fill="DDEBF7"/>
                  <w:vAlign w:val="top"/>
                </w:tcPr>
                <w:p w14:paraId="080629A2">
                  <w:pPr>
                    <w:keepNext w:val="0"/>
                    <w:keepLines w:val="0"/>
                    <w:widowControl/>
                    <w:suppressLineNumbers w:val="0"/>
                    <w:jc w:val="center"/>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12.20%</w:t>
                  </w:r>
                </w:p>
              </w:tc>
            </w:tr>
            <w:tr w14:paraId="5A861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4635" w:type="dxa"/>
                  <w:tcBorders>
                    <w:top w:val="single" w:color="9BC2E6" w:sz="4" w:space="0"/>
                    <w:left w:val="single" w:color="5B9BD5" w:sz="4" w:space="0"/>
                    <w:bottom w:val="single" w:color="9BC2E6" w:sz="4" w:space="0"/>
                    <w:right w:val="nil"/>
                  </w:tcBorders>
                  <w:shd w:val="clear" w:color="auto" w:fill="auto"/>
                  <w:vAlign w:val="top"/>
                </w:tcPr>
                <w:p w14:paraId="61D07826">
                  <w:pPr>
                    <w:keepNext w:val="0"/>
                    <w:keepLines w:val="0"/>
                    <w:widowControl/>
                    <w:suppressLineNumbers w:val="0"/>
                    <w:jc w:val="center"/>
                    <w:textAlignment w:val="top"/>
                    <w:rPr>
                      <w:rStyle w:val="22"/>
                      <w:rFonts w:hint="default"/>
                      <w:lang w:val="en-US" w:eastAsia="zh-CN" w:bidi="ar"/>
                    </w:rPr>
                  </w:pPr>
                  <w:r>
                    <w:rPr>
                      <w:rStyle w:val="22"/>
                      <w:lang w:val="en-US" w:eastAsia="zh-CN" w:bidi="ar"/>
                    </w:rPr>
                    <w:t>批发和零售业</w:t>
                  </w:r>
                </w:p>
              </w:tc>
              <w:tc>
                <w:tcPr>
                  <w:tcW w:w="1425" w:type="dxa"/>
                  <w:tcBorders>
                    <w:top w:val="single" w:color="9BC2E6" w:sz="4" w:space="0"/>
                    <w:left w:val="nil"/>
                    <w:bottom w:val="single" w:color="9BC2E6" w:sz="4" w:space="0"/>
                    <w:right w:val="nil"/>
                  </w:tcBorders>
                  <w:shd w:val="clear" w:color="auto" w:fill="auto"/>
                  <w:vAlign w:val="top"/>
                </w:tcPr>
                <w:p w14:paraId="559493B8">
                  <w:pPr>
                    <w:keepNext w:val="0"/>
                    <w:keepLines w:val="0"/>
                    <w:widowControl/>
                    <w:suppressLineNumbers w:val="0"/>
                    <w:jc w:val="center"/>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163</w:t>
                  </w:r>
                </w:p>
              </w:tc>
              <w:tc>
                <w:tcPr>
                  <w:tcW w:w="1200" w:type="dxa"/>
                  <w:tcBorders>
                    <w:top w:val="single" w:color="9BC2E6" w:sz="4" w:space="0"/>
                    <w:left w:val="nil"/>
                    <w:bottom w:val="single" w:color="9BC2E6" w:sz="4" w:space="0"/>
                    <w:right w:val="single" w:color="5B9BD5" w:sz="4" w:space="0"/>
                  </w:tcBorders>
                  <w:shd w:val="clear" w:color="auto" w:fill="auto"/>
                  <w:vAlign w:val="top"/>
                </w:tcPr>
                <w:p w14:paraId="1AC15D3F">
                  <w:pPr>
                    <w:keepNext w:val="0"/>
                    <w:keepLines w:val="0"/>
                    <w:widowControl/>
                    <w:suppressLineNumbers w:val="0"/>
                    <w:jc w:val="center"/>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14.10%</w:t>
                  </w:r>
                </w:p>
              </w:tc>
            </w:tr>
            <w:tr w14:paraId="5C856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4635" w:type="dxa"/>
                  <w:tcBorders>
                    <w:top w:val="single" w:color="9BC2E6" w:sz="4" w:space="0"/>
                    <w:left w:val="single" w:color="5B9BD5" w:sz="4" w:space="0"/>
                    <w:bottom w:val="single" w:color="9BC2E6" w:sz="4" w:space="0"/>
                    <w:right w:val="nil"/>
                  </w:tcBorders>
                  <w:shd w:val="clear" w:color="DDEBF7" w:fill="DDEBF7"/>
                  <w:vAlign w:val="top"/>
                </w:tcPr>
                <w:p w14:paraId="42A7A549">
                  <w:pPr>
                    <w:keepNext w:val="0"/>
                    <w:keepLines w:val="0"/>
                    <w:widowControl/>
                    <w:suppressLineNumbers w:val="0"/>
                    <w:jc w:val="center"/>
                    <w:textAlignment w:val="top"/>
                    <w:rPr>
                      <w:rStyle w:val="22"/>
                      <w:rFonts w:hint="default"/>
                      <w:lang w:val="en-US" w:eastAsia="zh-CN" w:bidi="ar"/>
                    </w:rPr>
                  </w:pPr>
                  <w:r>
                    <w:rPr>
                      <w:rStyle w:val="22"/>
                      <w:rFonts w:hint="default"/>
                      <w:lang w:val="en-US" w:eastAsia="zh-CN" w:bidi="ar"/>
                    </w:rPr>
                    <w:t xml:space="preserve">交通运输、仓储和邮政业           </w:t>
                  </w:r>
                </w:p>
              </w:tc>
              <w:tc>
                <w:tcPr>
                  <w:tcW w:w="1425" w:type="dxa"/>
                  <w:tcBorders>
                    <w:top w:val="single" w:color="9BC2E6" w:sz="4" w:space="0"/>
                    <w:left w:val="nil"/>
                    <w:bottom w:val="single" w:color="9BC2E6" w:sz="4" w:space="0"/>
                    <w:right w:val="nil"/>
                  </w:tcBorders>
                  <w:shd w:val="clear" w:color="DDEBF7" w:fill="DDEBF7"/>
                  <w:vAlign w:val="top"/>
                </w:tcPr>
                <w:p w14:paraId="55D7842F">
                  <w:pPr>
                    <w:keepNext w:val="0"/>
                    <w:keepLines w:val="0"/>
                    <w:widowControl/>
                    <w:suppressLineNumbers w:val="0"/>
                    <w:jc w:val="center"/>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40</w:t>
                  </w:r>
                </w:p>
              </w:tc>
              <w:tc>
                <w:tcPr>
                  <w:tcW w:w="1200" w:type="dxa"/>
                  <w:tcBorders>
                    <w:top w:val="single" w:color="9BC2E6" w:sz="4" w:space="0"/>
                    <w:left w:val="nil"/>
                    <w:bottom w:val="single" w:color="9BC2E6" w:sz="4" w:space="0"/>
                    <w:right w:val="single" w:color="5B9BD5" w:sz="4" w:space="0"/>
                  </w:tcBorders>
                  <w:shd w:val="clear" w:color="DDEBF7" w:fill="DDEBF7"/>
                  <w:vAlign w:val="top"/>
                </w:tcPr>
                <w:p w14:paraId="4A85BD77">
                  <w:pPr>
                    <w:keepNext w:val="0"/>
                    <w:keepLines w:val="0"/>
                    <w:widowControl/>
                    <w:suppressLineNumbers w:val="0"/>
                    <w:jc w:val="center"/>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3.40%</w:t>
                  </w:r>
                </w:p>
              </w:tc>
            </w:tr>
            <w:tr w14:paraId="2B77A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4635" w:type="dxa"/>
                  <w:tcBorders>
                    <w:top w:val="single" w:color="9BC2E6" w:sz="4" w:space="0"/>
                    <w:left w:val="single" w:color="5B9BD5" w:sz="4" w:space="0"/>
                    <w:bottom w:val="single" w:color="9BC2E6" w:sz="4" w:space="0"/>
                    <w:right w:val="nil"/>
                  </w:tcBorders>
                  <w:shd w:val="clear" w:color="auto" w:fill="auto"/>
                  <w:vAlign w:val="top"/>
                </w:tcPr>
                <w:p w14:paraId="2E2F17E1">
                  <w:pPr>
                    <w:keepNext w:val="0"/>
                    <w:keepLines w:val="0"/>
                    <w:widowControl/>
                    <w:suppressLineNumbers w:val="0"/>
                    <w:jc w:val="center"/>
                    <w:textAlignment w:val="top"/>
                    <w:rPr>
                      <w:rStyle w:val="22"/>
                      <w:rFonts w:hint="default"/>
                      <w:lang w:val="en-US" w:eastAsia="zh-CN" w:bidi="ar"/>
                    </w:rPr>
                  </w:pPr>
                  <w:r>
                    <w:rPr>
                      <w:rStyle w:val="22"/>
                      <w:lang w:val="en-US" w:eastAsia="zh-CN" w:bidi="ar"/>
                    </w:rPr>
                    <w:t>住宿和餐饮业</w:t>
                  </w:r>
                </w:p>
              </w:tc>
              <w:tc>
                <w:tcPr>
                  <w:tcW w:w="1425" w:type="dxa"/>
                  <w:tcBorders>
                    <w:top w:val="single" w:color="9BC2E6" w:sz="4" w:space="0"/>
                    <w:left w:val="nil"/>
                    <w:bottom w:val="single" w:color="9BC2E6" w:sz="4" w:space="0"/>
                    <w:right w:val="nil"/>
                  </w:tcBorders>
                  <w:shd w:val="clear" w:color="auto" w:fill="auto"/>
                  <w:vAlign w:val="top"/>
                </w:tcPr>
                <w:p w14:paraId="3D70ADD7">
                  <w:pPr>
                    <w:keepNext w:val="0"/>
                    <w:keepLines w:val="0"/>
                    <w:widowControl/>
                    <w:suppressLineNumbers w:val="0"/>
                    <w:jc w:val="center"/>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66</w:t>
                  </w:r>
                </w:p>
              </w:tc>
              <w:tc>
                <w:tcPr>
                  <w:tcW w:w="1200" w:type="dxa"/>
                  <w:tcBorders>
                    <w:top w:val="single" w:color="9BC2E6" w:sz="4" w:space="0"/>
                    <w:left w:val="nil"/>
                    <w:bottom w:val="single" w:color="9BC2E6" w:sz="4" w:space="0"/>
                    <w:right w:val="single" w:color="5B9BD5" w:sz="4" w:space="0"/>
                  </w:tcBorders>
                  <w:shd w:val="clear" w:color="auto" w:fill="auto"/>
                  <w:vAlign w:val="top"/>
                </w:tcPr>
                <w:p w14:paraId="73F4EDF1">
                  <w:pPr>
                    <w:keepNext w:val="0"/>
                    <w:keepLines w:val="0"/>
                    <w:widowControl/>
                    <w:suppressLineNumbers w:val="0"/>
                    <w:jc w:val="center"/>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5.70%</w:t>
                  </w:r>
                </w:p>
              </w:tc>
            </w:tr>
            <w:tr w14:paraId="1769B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jc w:val="center"/>
              </w:trPr>
              <w:tc>
                <w:tcPr>
                  <w:tcW w:w="4635" w:type="dxa"/>
                  <w:tcBorders>
                    <w:top w:val="single" w:color="9BC2E6" w:sz="4" w:space="0"/>
                    <w:left w:val="single" w:color="5B9BD5" w:sz="4" w:space="0"/>
                    <w:bottom w:val="single" w:color="9BC2E6" w:sz="4" w:space="0"/>
                    <w:right w:val="nil"/>
                  </w:tcBorders>
                  <w:shd w:val="clear" w:color="DDEBF7" w:fill="DDEBF7"/>
                  <w:vAlign w:val="top"/>
                </w:tcPr>
                <w:p w14:paraId="0A0F34D3">
                  <w:pPr>
                    <w:keepNext w:val="0"/>
                    <w:keepLines w:val="0"/>
                    <w:widowControl/>
                    <w:suppressLineNumbers w:val="0"/>
                    <w:jc w:val="center"/>
                    <w:textAlignment w:val="top"/>
                    <w:rPr>
                      <w:rStyle w:val="22"/>
                      <w:rFonts w:hint="default"/>
                      <w:lang w:val="en-US" w:eastAsia="zh-CN" w:bidi="ar"/>
                    </w:rPr>
                  </w:pPr>
                  <w:r>
                    <w:rPr>
                      <w:rStyle w:val="22"/>
                      <w:rFonts w:hint="default"/>
                      <w:lang w:val="en-US" w:eastAsia="zh-CN" w:bidi="ar"/>
                    </w:rPr>
                    <w:t xml:space="preserve">信息传输、软件和信息技术服务业    </w:t>
                  </w:r>
                </w:p>
              </w:tc>
              <w:tc>
                <w:tcPr>
                  <w:tcW w:w="1425" w:type="dxa"/>
                  <w:tcBorders>
                    <w:top w:val="single" w:color="9BC2E6" w:sz="4" w:space="0"/>
                    <w:left w:val="nil"/>
                    <w:bottom w:val="single" w:color="9BC2E6" w:sz="4" w:space="0"/>
                    <w:right w:val="nil"/>
                  </w:tcBorders>
                  <w:shd w:val="clear" w:color="DDEBF7" w:fill="DDEBF7"/>
                  <w:vAlign w:val="top"/>
                </w:tcPr>
                <w:p w14:paraId="1C3D3007">
                  <w:pPr>
                    <w:keepNext w:val="0"/>
                    <w:keepLines w:val="0"/>
                    <w:widowControl/>
                    <w:suppressLineNumbers w:val="0"/>
                    <w:jc w:val="center"/>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93</w:t>
                  </w:r>
                </w:p>
              </w:tc>
              <w:tc>
                <w:tcPr>
                  <w:tcW w:w="1200" w:type="dxa"/>
                  <w:tcBorders>
                    <w:top w:val="single" w:color="9BC2E6" w:sz="4" w:space="0"/>
                    <w:left w:val="nil"/>
                    <w:bottom w:val="single" w:color="9BC2E6" w:sz="4" w:space="0"/>
                    <w:right w:val="single" w:color="5B9BD5" w:sz="4" w:space="0"/>
                  </w:tcBorders>
                  <w:shd w:val="clear" w:color="DDEBF7" w:fill="DDEBF7"/>
                  <w:vAlign w:val="top"/>
                </w:tcPr>
                <w:p w14:paraId="60322391">
                  <w:pPr>
                    <w:keepNext w:val="0"/>
                    <w:keepLines w:val="0"/>
                    <w:widowControl/>
                    <w:suppressLineNumbers w:val="0"/>
                    <w:jc w:val="center"/>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8.10%</w:t>
                  </w:r>
                </w:p>
              </w:tc>
            </w:tr>
            <w:tr w14:paraId="2DEB1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jc w:val="center"/>
              </w:trPr>
              <w:tc>
                <w:tcPr>
                  <w:tcW w:w="4635" w:type="dxa"/>
                  <w:tcBorders>
                    <w:top w:val="single" w:color="9BC2E6" w:sz="4" w:space="0"/>
                    <w:left w:val="single" w:color="5B9BD5" w:sz="4" w:space="0"/>
                    <w:bottom w:val="single" w:color="9BC2E6" w:sz="4" w:space="0"/>
                    <w:right w:val="nil"/>
                  </w:tcBorders>
                  <w:shd w:val="clear" w:color="auto" w:fill="auto"/>
                  <w:vAlign w:val="top"/>
                </w:tcPr>
                <w:p w14:paraId="6EFDA0E2">
                  <w:pPr>
                    <w:keepNext w:val="0"/>
                    <w:keepLines w:val="0"/>
                    <w:widowControl/>
                    <w:suppressLineNumbers w:val="0"/>
                    <w:jc w:val="center"/>
                    <w:textAlignment w:val="top"/>
                    <w:rPr>
                      <w:rStyle w:val="22"/>
                      <w:rFonts w:hint="default"/>
                      <w:lang w:val="en-US" w:eastAsia="zh-CN" w:bidi="ar"/>
                    </w:rPr>
                  </w:pPr>
                  <w:r>
                    <w:rPr>
                      <w:rStyle w:val="22"/>
                      <w:lang w:val="en-US" w:eastAsia="zh-CN" w:bidi="ar"/>
                    </w:rPr>
                    <w:t>金融业</w:t>
                  </w:r>
                </w:p>
              </w:tc>
              <w:tc>
                <w:tcPr>
                  <w:tcW w:w="1425" w:type="dxa"/>
                  <w:tcBorders>
                    <w:top w:val="single" w:color="9BC2E6" w:sz="4" w:space="0"/>
                    <w:left w:val="nil"/>
                    <w:bottom w:val="single" w:color="9BC2E6" w:sz="4" w:space="0"/>
                    <w:right w:val="nil"/>
                  </w:tcBorders>
                  <w:shd w:val="clear" w:color="auto" w:fill="auto"/>
                  <w:vAlign w:val="top"/>
                </w:tcPr>
                <w:p w14:paraId="0D17BE2A">
                  <w:pPr>
                    <w:keepNext w:val="0"/>
                    <w:keepLines w:val="0"/>
                    <w:widowControl/>
                    <w:suppressLineNumbers w:val="0"/>
                    <w:jc w:val="center"/>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21</w:t>
                  </w:r>
                </w:p>
              </w:tc>
              <w:tc>
                <w:tcPr>
                  <w:tcW w:w="1200" w:type="dxa"/>
                  <w:tcBorders>
                    <w:top w:val="single" w:color="9BC2E6" w:sz="4" w:space="0"/>
                    <w:left w:val="nil"/>
                    <w:bottom w:val="single" w:color="9BC2E6" w:sz="4" w:space="0"/>
                    <w:right w:val="single" w:color="5B9BD5" w:sz="4" w:space="0"/>
                  </w:tcBorders>
                  <w:shd w:val="clear" w:color="auto" w:fill="auto"/>
                  <w:vAlign w:val="top"/>
                </w:tcPr>
                <w:p w14:paraId="5BE4D0F7">
                  <w:pPr>
                    <w:keepNext w:val="0"/>
                    <w:keepLines w:val="0"/>
                    <w:widowControl/>
                    <w:suppressLineNumbers w:val="0"/>
                    <w:jc w:val="center"/>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1.80%</w:t>
                  </w:r>
                </w:p>
              </w:tc>
            </w:tr>
            <w:tr w14:paraId="0D0B3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jc w:val="center"/>
              </w:trPr>
              <w:tc>
                <w:tcPr>
                  <w:tcW w:w="4635" w:type="dxa"/>
                  <w:tcBorders>
                    <w:top w:val="single" w:color="9BC2E6" w:sz="4" w:space="0"/>
                    <w:left w:val="single" w:color="5B9BD5" w:sz="4" w:space="0"/>
                    <w:bottom w:val="single" w:color="9BC2E6" w:sz="4" w:space="0"/>
                    <w:right w:val="nil"/>
                  </w:tcBorders>
                  <w:shd w:val="clear" w:color="DDEBF7" w:fill="DDEBF7"/>
                  <w:vAlign w:val="top"/>
                </w:tcPr>
                <w:p w14:paraId="587232DC">
                  <w:pPr>
                    <w:keepNext w:val="0"/>
                    <w:keepLines w:val="0"/>
                    <w:widowControl/>
                    <w:suppressLineNumbers w:val="0"/>
                    <w:jc w:val="center"/>
                    <w:textAlignment w:val="top"/>
                    <w:rPr>
                      <w:rStyle w:val="22"/>
                      <w:rFonts w:hint="default"/>
                      <w:lang w:val="en-US" w:eastAsia="zh-CN" w:bidi="ar"/>
                    </w:rPr>
                  </w:pPr>
                  <w:r>
                    <w:rPr>
                      <w:rStyle w:val="22"/>
                      <w:rFonts w:hint="default"/>
                      <w:lang w:val="en-US" w:eastAsia="zh-CN" w:bidi="ar"/>
                    </w:rPr>
                    <w:t xml:space="preserve">房地产业                      </w:t>
                  </w:r>
                </w:p>
              </w:tc>
              <w:tc>
                <w:tcPr>
                  <w:tcW w:w="1425" w:type="dxa"/>
                  <w:tcBorders>
                    <w:top w:val="single" w:color="9BC2E6" w:sz="4" w:space="0"/>
                    <w:left w:val="nil"/>
                    <w:bottom w:val="single" w:color="9BC2E6" w:sz="4" w:space="0"/>
                    <w:right w:val="nil"/>
                  </w:tcBorders>
                  <w:shd w:val="clear" w:color="DDEBF7" w:fill="DDEBF7"/>
                  <w:vAlign w:val="top"/>
                </w:tcPr>
                <w:p w14:paraId="4D18CF35">
                  <w:pPr>
                    <w:keepNext w:val="0"/>
                    <w:keepLines w:val="0"/>
                    <w:widowControl/>
                    <w:suppressLineNumbers w:val="0"/>
                    <w:jc w:val="center"/>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12</w:t>
                  </w:r>
                </w:p>
              </w:tc>
              <w:tc>
                <w:tcPr>
                  <w:tcW w:w="1200" w:type="dxa"/>
                  <w:tcBorders>
                    <w:top w:val="single" w:color="9BC2E6" w:sz="4" w:space="0"/>
                    <w:left w:val="nil"/>
                    <w:bottom w:val="single" w:color="9BC2E6" w:sz="4" w:space="0"/>
                    <w:right w:val="single" w:color="5B9BD5" w:sz="4" w:space="0"/>
                  </w:tcBorders>
                  <w:shd w:val="clear" w:color="DDEBF7" w:fill="DDEBF7"/>
                  <w:vAlign w:val="top"/>
                </w:tcPr>
                <w:p w14:paraId="17542CB6">
                  <w:pPr>
                    <w:keepNext w:val="0"/>
                    <w:keepLines w:val="0"/>
                    <w:widowControl/>
                    <w:suppressLineNumbers w:val="0"/>
                    <w:jc w:val="center"/>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4.30%</w:t>
                  </w:r>
                </w:p>
              </w:tc>
            </w:tr>
            <w:tr w14:paraId="6C013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4635" w:type="dxa"/>
                  <w:tcBorders>
                    <w:top w:val="single" w:color="9BC2E6" w:sz="4" w:space="0"/>
                    <w:left w:val="single" w:color="5B9BD5" w:sz="4" w:space="0"/>
                    <w:bottom w:val="single" w:color="9BC2E6" w:sz="4" w:space="0"/>
                    <w:right w:val="nil"/>
                  </w:tcBorders>
                  <w:shd w:val="clear" w:color="auto" w:fill="auto"/>
                  <w:vAlign w:val="top"/>
                </w:tcPr>
                <w:p w14:paraId="2C0482A9">
                  <w:pPr>
                    <w:keepNext w:val="0"/>
                    <w:keepLines w:val="0"/>
                    <w:widowControl/>
                    <w:suppressLineNumbers w:val="0"/>
                    <w:jc w:val="center"/>
                    <w:textAlignment w:val="top"/>
                    <w:rPr>
                      <w:rStyle w:val="22"/>
                      <w:rFonts w:hint="default"/>
                      <w:lang w:val="en-US" w:eastAsia="zh-CN" w:bidi="ar"/>
                    </w:rPr>
                  </w:pPr>
                  <w:r>
                    <w:rPr>
                      <w:rStyle w:val="22"/>
                      <w:lang w:val="en-US" w:eastAsia="zh-CN" w:bidi="ar"/>
                    </w:rPr>
                    <w:t>租赁和商务服务业</w:t>
                  </w:r>
                </w:p>
              </w:tc>
              <w:tc>
                <w:tcPr>
                  <w:tcW w:w="1425" w:type="dxa"/>
                  <w:tcBorders>
                    <w:top w:val="single" w:color="9BC2E6" w:sz="4" w:space="0"/>
                    <w:left w:val="nil"/>
                    <w:bottom w:val="single" w:color="9BC2E6" w:sz="4" w:space="0"/>
                    <w:right w:val="nil"/>
                  </w:tcBorders>
                  <w:shd w:val="clear" w:color="auto" w:fill="auto"/>
                  <w:vAlign w:val="top"/>
                </w:tcPr>
                <w:p w14:paraId="4D9B2455">
                  <w:pPr>
                    <w:keepNext w:val="0"/>
                    <w:keepLines w:val="0"/>
                    <w:widowControl/>
                    <w:suppressLineNumbers w:val="0"/>
                    <w:jc w:val="center"/>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50</w:t>
                  </w:r>
                </w:p>
              </w:tc>
              <w:tc>
                <w:tcPr>
                  <w:tcW w:w="1200" w:type="dxa"/>
                  <w:tcBorders>
                    <w:top w:val="single" w:color="9BC2E6" w:sz="4" w:space="0"/>
                    <w:left w:val="nil"/>
                    <w:bottom w:val="single" w:color="9BC2E6" w:sz="4" w:space="0"/>
                    <w:right w:val="single" w:color="5B9BD5" w:sz="4" w:space="0"/>
                  </w:tcBorders>
                  <w:shd w:val="clear" w:color="auto" w:fill="auto"/>
                  <w:vAlign w:val="top"/>
                </w:tcPr>
                <w:p w14:paraId="62812424">
                  <w:pPr>
                    <w:keepNext w:val="0"/>
                    <w:keepLines w:val="0"/>
                    <w:widowControl/>
                    <w:suppressLineNumbers w:val="0"/>
                    <w:jc w:val="center"/>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4.30%</w:t>
                  </w:r>
                </w:p>
              </w:tc>
            </w:tr>
            <w:tr w14:paraId="3A169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4635" w:type="dxa"/>
                  <w:tcBorders>
                    <w:top w:val="single" w:color="9BC2E6" w:sz="4" w:space="0"/>
                    <w:left w:val="single" w:color="5B9BD5" w:sz="4" w:space="0"/>
                    <w:bottom w:val="single" w:color="9BC2E6" w:sz="4" w:space="0"/>
                    <w:right w:val="nil"/>
                  </w:tcBorders>
                  <w:shd w:val="clear" w:color="DDEBF7" w:fill="DDEBF7"/>
                  <w:vAlign w:val="top"/>
                </w:tcPr>
                <w:p w14:paraId="2C66FA92">
                  <w:pPr>
                    <w:keepNext w:val="0"/>
                    <w:keepLines w:val="0"/>
                    <w:widowControl/>
                    <w:suppressLineNumbers w:val="0"/>
                    <w:jc w:val="center"/>
                    <w:textAlignment w:val="top"/>
                    <w:rPr>
                      <w:rStyle w:val="22"/>
                      <w:rFonts w:hint="default"/>
                      <w:lang w:val="en-US" w:eastAsia="zh-CN" w:bidi="ar"/>
                    </w:rPr>
                  </w:pPr>
                  <w:r>
                    <w:rPr>
                      <w:rStyle w:val="22"/>
                      <w:rFonts w:hint="default"/>
                      <w:lang w:val="en-US" w:eastAsia="zh-CN" w:bidi="ar"/>
                    </w:rPr>
                    <w:t xml:space="preserve">科学研究和技术服务业                  </w:t>
                  </w:r>
                </w:p>
              </w:tc>
              <w:tc>
                <w:tcPr>
                  <w:tcW w:w="1425" w:type="dxa"/>
                  <w:tcBorders>
                    <w:top w:val="single" w:color="9BC2E6" w:sz="4" w:space="0"/>
                    <w:left w:val="nil"/>
                    <w:bottom w:val="single" w:color="9BC2E6" w:sz="4" w:space="0"/>
                    <w:right w:val="nil"/>
                  </w:tcBorders>
                  <w:shd w:val="clear" w:color="DDEBF7" w:fill="DDEBF7"/>
                  <w:vAlign w:val="top"/>
                </w:tcPr>
                <w:p w14:paraId="45440ED2">
                  <w:pPr>
                    <w:keepNext w:val="0"/>
                    <w:keepLines w:val="0"/>
                    <w:widowControl/>
                    <w:suppressLineNumbers w:val="0"/>
                    <w:jc w:val="center"/>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29</w:t>
                  </w:r>
                </w:p>
              </w:tc>
              <w:tc>
                <w:tcPr>
                  <w:tcW w:w="1200" w:type="dxa"/>
                  <w:tcBorders>
                    <w:top w:val="single" w:color="9BC2E6" w:sz="4" w:space="0"/>
                    <w:left w:val="nil"/>
                    <w:bottom w:val="single" w:color="9BC2E6" w:sz="4" w:space="0"/>
                    <w:right w:val="single" w:color="5B9BD5" w:sz="4" w:space="0"/>
                  </w:tcBorders>
                  <w:shd w:val="clear" w:color="DDEBF7" w:fill="DDEBF7"/>
                  <w:vAlign w:val="top"/>
                </w:tcPr>
                <w:p w14:paraId="50603FF1">
                  <w:pPr>
                    <w:keepNext w:val="0"/>
                    <w:keepLines w:val="0"/>
                    <w:widowControl/>
                    <w:suppressLineNumbers w:val="0"/>
                    <w:jc w:val="center"/>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2.50%</w:t>
                  </w:r>
                </w:p>
              </w:tc>
            </w:tr>
            <w:tr w14:paraId="7B2C0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jc w:val="center"/>
              </w:trPr>
              <w:tc>
                <w:tcPr>
                  <w:tcW w:w="4635" w:type="dxa"/>
                  <w:tcBorders>
                    <w:top w:val="single" w:color="9BC2E6" w:sz="4" w:space="0"/>
                    <w:left w:val="single" w:color="5B9BD5" w:sz="4" w:space="0"/>
                    <w:bottom w:val="single" w:color="9BC2E6" w:sz="4" w:space="0"/>
                    <w:right w:val="nil"/>
                  </w:tcBorders>
                  <w:shd w:val="clear" w:color="auto" w:fill="auto"/>
                  <w:vAlign w:val="top"/>
                </w:tcPr>
                <w:p w14:paraId="46B78333">
                  <w:pPr>
                    <w:keepNext w:val="0"/>
                    <w:keepLines w:val="0"/>
                    <w:widowControl/>
                    <w:suppressLineNumbers w:val="0"/>
                    <w:jc w:val="center"/>
                    <w:textAlignment w:val="top"/>
                    <w:rPr>
                      <w:rStyle w:val="22"/>
                      <w:rFonts w:hint="default"/>
                      <w:lang w:val="en-US" w:eastAsia="zh-CN" w:bidi="ar"/>
                    </w:rPr>
                  </w:pPr>
                  <w:r>
                    <w:rPr>
                      <w:rStyle w:val="22"/>
                      <w:lang w:val="en-US" w:eastAsia="zh-CN" w:bidi="ar"/>
                    </w:rPr>
                    <w:t>水利、环境和公共设施管理业</w:t>
                  </w:r>
                </w:p>
              </w:tc>
              <w:tc>
                <w:tcPr>
                  <w:tcW w:w="1425" w:type="dxa"/>
                  <w:tcBorders>
                    <w:top w:val="single" w:color="9BC2E6" w:sz="4" w:space="0"/>
                    <w:left w:val="nil"/>
                    <w:bottom w:val="single" w:color="9BC2E6" w:sz="4" w:space="0"/>
                    <w:right w:val="nil"/>
                  </w:tcBorders>
                  <w:shd w:val="clear" w:color="auto" w:fill="auto"/>
                  <w:vAlign w:val="top"/>
                </w:tcPr>
                <w:p w14:paraId="5D305EE6">
                  <w:pPr>
                    <w:keepNext w:val="0"/>
                    <w:keepLines w:val="0"/>
                    <w:widowControl/>
                    <w:suppressLineNumbers w:val="0"/>
                    <w:jc w:val="center"/>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17</w:t>
                  </w:r>
                </w:p>
              </w:tc>
              <w:tc>
                <w:tcPr>
                  <w:tcW w:w="1200" w:type="dxa"/>
                  <w:tcBorders>
                    <w:top w:val="single" w:color="9BC2E6" w:sz="4" w:space="0"/>
                    <w:left w:val="nil"/>
                    <w:bottom w:val="single" w:color="9BC2E6" w:sz="4" w:space="0"/>
                    <w:right w:val="single" w:color="5B9BD5" w:sz="4" w:space="0"/>
                  </w:tcBorders>
                  <w:shd w:val="clear" w:color="auto" w:fill="auto"/>
                  <w:vAlign w:val="top"/>
                </w:tcPr>
                <w:p w14:paraId="2CC949C8">
                  <w:pPr>
                    <w:keepNext w:val="0"/>
                    <w:keepLines w:val="0"/>
                    <w:widowControl/>
                    <w:suppressLineNumbers w:val="0"/>
                    <w:jc w:val="center"/>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1.50%</w:t>
                  </w:r>
                </w:p>
              </w:tc>
            </w:tr>
            <w:tr w14:paraId="38FF9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4635" w:type="dxa"/>
                  <w:tcBorders>
                    <w:top w:val="single" w:color="9BC2E6" w:sz="4" w:space="0"/>
                    <w:left w:val="single" w:color="5B9BD5" w:sz="4" w:space="0"/>
                    <w:bottom w:val="single" w:color="9BC2E6" w:sz="4" w:space="0"/>
                    <w:right w:val="nil"/>
                  </w:tcBorders>
                  <w:shd w:val="clear" w:color="DDEBF7" w:fill="DDEBF7"/>
                  <w:vAlign w:val="top"/>
                </w:tcPr>
                <w:p w14:paraId="581BB6FE">
                  <w:pPr>
                    <w:keepNext w:val="0"/>
                    <w:keepLines w:val="0"/>
                    <w:widowControl/>
                    <w:suppressLineNumbers w:val="0"/>
                    <w:jc w:val="center"/>
                    <w:textAlignment w:val="top"/>
                    <w:rPr>
                      <w:rStyle w:val="22"/>
                      <w:rFonts w:hint="default"/>
                      <w:lang w:val="en-US" w:eastAsia="zh-CN" w:bidi="ar"/>
                    </w:rPr>
                  </w:pPr>
                  <w:r>
                    <w:rPr>
                      <w:rStyle w:val="22"/>
                      <w:rFonts w:hint="default"/>
                      <w:lang w:val="en-US" w:eastAsia="zh-CN" w:bidi="ar"/>
                    </w:rPr>
                    <w:t xml:space="preserve">居民服务、修理和其他服务业          </w:t>
                  </w:r>
                </w:p>
              </w:tc>
              <w:tc>
                <w:tcPr>
                  <w:tcW w:w="1425" w:type="dxa"/>
                  <w:tcBorders>
                    <w:top w:val="single" w:color="9BC2E6" w:sz="4" w:space="0"/>
                    <w:left w:val="nil"/>
                    <w:bottom w:val="single" w:color="9BC2E6" w:sz="4" w:space="0"/>
                    <w:right w:val="nil"/>
                  </w:tcBorders>
                  <w:shd w:val="clear" w:color="DDEBF7" w:fill="DDEBF7"/>
                  <w:vAlign w:val="top"/>
                </w:tcPr>
                <w:p w14:paraId="5BAD7D48">
                  <w:pPr>
                    <w:keepNext w:val="0"/>
                    <w:keepLines w:val="0"/>
                    <w:widowControl/>
                    <w:suppressLineNumbers w:val="0"/>
                    <w:jc w:val="center"/>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64</w:t>
                  </w:r>
                </w:p>
              </w:tc>
              <w:tc>
                <w:tcPr>
                  <w:tcW w:w="1200" w:type="dxa"/>
                  <w:tcBorders>
                    <w:top w:val="single" w:color="9BC2E6" w:sz="4" w:space="0"/>
                    <w:left w:val="nil"/>
                    <w:bottom w:val="single" w:color="9BC2E6" w:sz="4" w:space="0"/>
                    <w:right w:val="single" w:color="5B9BD5" w:sz="4" w:space="0"/>
                  </w:tcBorders>
                  <w:shd w:val="clear" w:color="DDEBF7" w:fill="DDEBF7"/>
                  <w:vAlign w:val="top"/>
                </w:tcPr>
                <w:p w14:paraId="001BB331">
                  <w:pPr>
                    <w:keepNext w:val="0"/>
                    <w:keepLines w:val="0"/>
                    <w:widowControl/>
                    <w:suppressLineNumbers w:val="0"/>
                    <w:jc w:val="center"/>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5.57%</w:t>
                  </w:r>
                </w:p>
              </w:tc>
            </w:tr>
            <w:tr w14:paraId="1EAA7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4635" w:type="dxa"/>
                  <w:tcBorders>
                    <w:top w:val="single" w:color="9BC2E6" w:sz="4" w:space="0"/>
                    <w:left w:val="single" w:color="5B9BD5" w:sz="4" w:space="0"/>
                    <w:bottom w:val="single" w:color="9BC2E6" w:sz="4" w:space="0"/>
                    <w:right w:val="nil"/>
                  </w:tcBorders>
                  <w:shd w:val="clear" w:color="auto" w:fill="auto"/>
                  <w:vAlign w:val="top"/>
                </w:tcPr>
                <w:p w14:paraId="307DB1D4">
                  <w:pPr>
                    <w:keepNext w:val="0"/>
                    <w:keepLines w:val="0"/>
                    <w:widowControl/>
                    <w:suppressLineNumbers w:val="0"/>
                    <w:jc w:val="center"/>
                    <w:textAlignment w:val="top"/>
                    <w:rPr>
                      <w:rStyle w:val="22"/>
                      <w:rFonts w:hint="default"/>
                      <w:lang w:val="en-US" w:eastAsia="zh-CN" w:bidi="ar"/>
                    </w:rPr>
                  </w:pPr>
                  <w:r>
                    <w:rPr>
                      <w:rStyle w:val="22"/>
                      <w:lang w:val="en-US" w:eastAsia="zh-CN" w:bidi="ar"/>
                    </w:rPr>
                    <w:t>教育</w:t>
                  </w:r>
                </w:p>
              </w:tc>
              <w:tc>
                <w:tcPr>
                  <w:tcW w:w="1425" w:type="dxa"/>
                  <w:tcBorders>
                    <w:top w:val="single" w:color="9BC2E6" w:sz="4" w:space="0"/>
                    <w:left w:val="nil"/>
                    <w:bottom w:val="single" w:color="9BC2E6" w:sz="4" w:space="0"/>
                    <w:right w:val="nil"/>
                  </w:tcBorders>
                  <w:shd w:val="clear" w:color="auto" w:fill="auto"/>
                  <w:vAlign w:val="top"/>
                </w:tcPr>
                <w:p w14:paraId="4C47B7B4">
                  <w:pPr>
                    <w:keepNext w:val="0"/>
                    <w:keepLines w:val="0"/>
                    <w:widowControl/>
                    <w:suppressLineNumbers w:val="0"/>
                    <w:jc w:val="center"/>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70</w:t>
                  </w:r>
                </w:p>
              </w:tc>
              <w:tc>
                <w:tcPr>
                  <w:tcW w:w="1200" w:type="dxa"/>
                  <w:tcBorders>
                    <w:top w:val="single" w:color="9BC2E6" w:sz="4" w:space="0"/>
                    <w:left w:val="nil"/>
                    <w:bottom w:val="single" w:color="9BC2E6" w:sz="4" w:space="0"/>
                    <w:right w:val="single" w:color="5B9BD5" w:sz="4" w:space="0"/>
                  </w:tcBorders>
                  <w:shd w:val="clear" w:color="auto" w:fill="auto"/>
                  <w:vAlign w:val="top"/>
                </w:tcPr>
                <w:p w14:paraId="4D67A60D">
                  <w:pPr>
                    <w:keepNext w:val="0"/>
                    <w:keepLines w:val="0"/>
                    <w:widowControl/>
                    <w:suppressLineNumbers w:val="0"/>
                    <w:jc w:val="center"/>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6%</w:t>
                  </w:r>
                </w:p>
              </w:tc>
            </w:tr>
            <w:tr w14:paraId="71585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4635" w:type="dxa"/>
                  <w:tcBorders>
                    <w:top w:val="single" w:color="9BC2E6" w:sz="4" w:space="0"/>
                    <w:left w:val="single" w:color="5B9BD5" w:sz="4" w:space="0"/>
                    <w:bottom w:val="single" w:color="9BC2E6" w:sz="4" w:space="0"/>
                    <w:right w:val="nil"/>
                  </w:tcBorders>
                  <w:shd w:val="clear" w:color="DDEBF7" w:fill="DDEBF7"/>
                  <w:vAlign w:val="top"/>
                </w:tcPr>
                <w:p w14:paraId="4355CD5B">
                  <w:pPr>
                    <w:keepNext w:val="0"/>
                    <w:keepLines w:val="0"/>
                    <w:widowControl/>
                    <w:suppressLineNumbers w:val="0"/>
                    <w:jc w:val="center"/>
                    <w:textAlignment w:val="top"/>
                    <w:rPr>
                      <w:rStyle w:val="22"/>
                      <w:rFonts w:hint="default"/>
                      <w:lang w:val="en-US" w:eastAsia="zh-CN" w:bidi="ar"/>
                    </w:rPr>
                  </w:pPr>
                  <w:r>
                    <w:rPr>
                      <w:rStyle w:val="22"/>
                      <w:rFonts w:hint="default"/>
                      <w:lang w:val="en-US" w:eastAsia="zh-CN" w:bidi="ar"/>
                    </w:rPr>
                    <w:t xml:space="preserve">卫生和社会工作                    </w:t>
                  </w:r>
                </w:p>
              </w:tc>
              <w:tc>
                <w:tcPr>
                  <w:tcW w:w="1425" w:type="dxa"/>
                  <w:tcBorders>
                    <w:top w:val="single" w:color="9BC2E6" w:sz="4" w:space="0"/>
                    <w:left w:val="nil"/>
                    <w:bottom w:val="single" w:color="9BC2E6" w:sz="4" w:space="0"/>
                    <w:right w:val="nil"/>
                  </w:tcBorders>
                  <w:shd w:val="clear" w:color="DDEBF7" w:fill="DDEBF7"/>
                  <w:vAlign w:val="top"/>
                </w:tcPr>
                <w:p w14:paraId="7157EBFE">
                  <w:pPr>
                    <w:keepNext w:val="0"/>
                    <w:keepLines w:val="0"/>
                    <w:widowControl/>
                    <w:suppressLineNumbers w:val="0"/>
                    <w:jc w:val="center"/>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73</w:t>
                  </w:r>
                </w:p>
              </w:tc>
              <w:tc>
                <w:tcPr>
                  <w:tcW w:w="1200" w:type="dxa"/>
                  <w:tcBorders>
                    <w:top w:val="single" w:color="9BC2E6" w:sz="4" w:space="0"/>
                    <w:left w:val="nil"/>
                    <w:bottom w:val="single" w:color="9BC2E6" w:sz="4" w:space="0"/>
                    <w:right w:val="single" w:color="5B9BD5" w:sz="4" w:space="0"/>
                  </w:tcBorders>
                  <w:shd w:val="clear" w:color="DDEBF7" w:fill="DDEBF7"/>
                  <w:vAlign w:val="top"/>
                </w:tcPr>
                <w:p w14:paraId="773FC7C9">
                  <w:pPr>
                    <w:keepNext w:val="0"/>
                    <w:keepLines w:val="0"/>
                    <w:widowControl/>
                    <w:suppressLineNumbers w:val="0"/>
                    <w:jc w:val="center"/>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6.30%</w:t>
                  </w:r>
                </w:p>
              </w:tc>
            </w:tr>
            <w:tr w14:paraId="58C6B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jc w:val="center"/>
              </w:trPr>
              <w:tc>
                <w:tcPr>
                  <w:tcW w:w="4635" w:type="dxa"/>
                  <w:tcBorders>
                    <w:top w:val="single" w:color="9BC2E6" w:sz="4" w:space="0"/>
                    <w:left w:val="single" w:color="5B9BD5" w:sz="4" w:space="0"/>
                    <w:bottom w:val="single" w:color="9BC2E6" w:sz="4" w:space="0"/>
                    <w:right w:val="nil"/>
                  </w:tcBorders>
                  <w:shd w:val="clear" w:color="auto" w:fill="auto"/>
                  <w:vAlign w:val="top"/>
                </w:tcPr>
                <w:p w14:paraId="60346A63">
                  <w:pPr>
                    <w:keepNext w:val="0"/>
                    <w:keepLines w:val="0"/>
                    <w:widowControl/>
                    <w:suppressLineNumbers w:val="0"/>
                    <w:jc w:val="center"/>
                    <w:textAlignment w:val="top"/>
                    <w:rPr>
                      <w:rStyle w:val="22"/>
                      <w:rFonts w:hint="default"/>
                      <w:lang w:val="en-US" w:eastAsia="zh-CN" w:bidi="ar"/>
                    </w:rPr>
                  </w:pPr>
                  <w:r>
                    <w:rPr>
                      <w:rStyle w:val="22"/>
                      <w:lang w:val="en-US" w:eastAsia="zh-CN" w:bidi="ar"/>
                    </w:rPr>
                    <w:t>文化、体育和娱乐业</w:t>
                  </w:r>
                </w:p>
              </w:tc>
              <w:tc>
                <w:tcPr>
                  <w:tcW w:w="1425" w:type="dxa"/>
                  <w:tcBorders>
                    <w:top w:val="single" w:color="9BC2E6" w:sz="4" w:space="0"/>
                    <w:left w:val="nil"/>
                    <w:bottom w:val="single" w:color="9BC2E6" w:sz="4" w:space="0"/>
                    <w:right w:val="nil"/>
                  </w:tcBorders>
                  <w:shd w:val="clear" w:color="auto" w:fill="auto"/>
                  <w:vAlign w:val="top"/>
                </w:tcPr>
                <w:p w14:paraId="58DFE112">
                  <w:pPr>
                    <w:keepNext w:val="0"/>
                    <w:keepLines w:val="0"/>
                    <w:widowControl/>
                    <w:suppressLineNumbers w:val="0"/>
                    <w:jc w:val="center"/>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56</w:t>
                  </w:r>
                </w:p>
              </w:tc>
              <w:tc>
                <w:tcPr>
                  <w:tcW w:w="1200" w:type="dxa"/>
                  <w:tcBorders>
                    <w:top w:val="single" w:color="9BC2E6" w:sz="4" w:space="0"/>
                    <w:left w:val="nil"/>
                    <w:bottom w:val="single" w:color="9BC2E6" w:sz="4" w:space="0"/>
                    <w:right w:val="single" w:color="5B9BD5" w:sz="4" w:space="0"/>
                  </w:tcBorders>
                  <w:shd w:val="clear" w:color="auto" w:fill="auto"/>
                  <w:vAlign w:val="top"/>
                </w:tcPr>
                <w:p w14:paraId="77F5440C">
                  <w:pPr>
                    <w:keepNext w:val="0"/>
                    <w:keepLines w:val="0"/>
                    <w:widowControl/>
                    <w:suppressLineNumbers w:val="0"/>
                    <w:jc w:val="center"/>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4.80%</w:t>
                  </w:r>
                </w:p>
              </w:tc>
            </w:tr>
            <w:tr w14:paraId="4B8C0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4635" w:type="dxa"/>
                  <w:tcBorders>
                    <w:top w:val="single" w:color="9BC2E6" w:sz="4" w:space="0"/>
                    <w:left w:val="single" w:color="5B9BD5" w:sz="4" w:space="0"/>
                    <w:bottom w:val="single" w:color="9BC2E6" w:sz="4" w:space="0"/>
                    <w:right w:val="nil"/>
                  </w:tcBorders>
                  <w:shd w:val="clear" w:color="DDEBF7" w:fill="DDEBF7"/>
                  <w:vAlign w:val="top"/>
                </w:tcPr>
                <w:p w14:paraId="39B70C5E">
                  <w:pPr>
                    <w:keepNext w:val="0"/>
                    <w:keepLines w:val="0"/>
                    <w:widowControl/>
                    <w:suppressLineNumbers w:val="0"/>
                    <w:jc w:val="center"/>
                    <w:textAlignment w:val="top"/>
                    <w:rPr>
                      <w:rStyle w:val="22"/>
                      <w:rFonts w:hint="default"/>
                      <w:lang w:val="en-US" w:eastAsia="zh-CN" w:bidi="ar"/>
                    </w:rPr>
                  </w:pPr>
                  <w:r>
                    <w:rPr>
                      <w:rStyle w:val="22"/>
                      <w:rFonts w:hint="default"/>
                      <w:lang w:val="en-US" w:eastAsia="zh-CN" w:bidi="ar"/>
                    </w:rPr>
                    <w:t xml:space="preserve">公共管理、社会保障和社会组织            </w:t>
                  </w:r>
                </w:p>
              </w:tc>
              <w:tc>
                <w:tcPr>
                  <w:tcW w:w="1425" w:type="dxa"/>
                  <w:tcBorders>
                    <w:top w:val="single" w:color="9BC2E6" w:sz="4" w:space="0"/>
                    <w:left w:val="nil"/>
                    <w:bottom w:val="single" w:color="9BC2E6" w:sz="4" w:space="0"/>
                    <w:right w:val="nil"/>
                  </w:tcBorders>
                  <w:shd w:val="clear" w:color="DDEBF7" w:fill="DDEBF7"/>
                  <w:vAlign w:val="top"/>
                </w:tcPr>
                <w:p w14:paraId="04AFC73D">
                  <w:pPr>
                    <w:keepNext w:val="0"/>
                    <w:keepLines w:val="0"/>
                    <w:widowControl/>
                    <w:suppressLineNumbers w:val="0"/>
                    <w:jc w:val="center"/>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12</w:t>
                  </w:r>
                </w:p>
              </w:tc>
              <w:tc>
                <w:tcPr>
                  <w:tcW w:w="1200" w:type="dxa"/>
                  <w:tcBorders>
                    <w:top w:val="single" w:color="9BC2E6" w:sz="4" w:space="0"/>
                    <w:left w:val="nil"/>
                    <w:bottom w:val="single" w:color="9BC2E6" w:sz="4" w:space="0"/>
                    <w:right w:val="single" w:color="5B9BD5" w:sz="4" w:space="0"/>
                  </w:tcBorders>
                  <w:shd w:val="clear" w:color="DDEBF7" w:fill="DDEBF7"/>
                  <w:vAlign w:val="top"/>
                </w:tcPr>
                <w:p w14:paraId="1B414C1D">
                  <w:pPr>
                    <w:keepNext w:val="0"/>
                    <w:keepLines w:val="0"/>
                    <w:widowControl/>
                    <w:suppressLineNumbers w:val="0"/>
                    <w:jc w:val="center"/>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r>
          </w:tbl>
          <w:p w14:paraId="6169E973">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color w:val="auto"/>
                <w:sz w:val="28"/>
                <w:szCs w:val="28"/>
                <w:vertAlign w:val="baseline"/>
                <w:lang w:val="en-US" w:eastAsia="zh-CN"/>
              </w:rPr>
            </w:pPr>
          </w:p>
        </w:tc>
      </w:tr>
    </w:tbl>
    <w:p w14:paraId="046E8059">
      <w:pPr>
        <w:keepNext w:val="0"/>
        <w:keepLines w:val="0"/>
        <w:pageBreakBefore w:val="0"/>
        <w:numPr>
          <w:ilvl w:val="0"/>
          <w:numId w:val="0"/>
        </w:numPr>
        <w:kinsoku/>
        <w:wordWrap/>
        <w:overflowPunct/>
        <w:topLinePunct w:val="0"/>
        <w:bidi w:val="0"/>
        <w:adjustRightInd/>
        <w:snapToGrid/>
        <w:spacing w:line="560" w:lineRule="exact"/>
        <w:ind w:right="0" w:rightChars="0"/>
        <w:textAlignment w:val="auto"/>
        <w:outlineLvl w:val="1"/>
        <w:rPr>
          <w:rFonts w:hint="eastAsia" w:asciiTheme="minorEastAsia" w:hAnsiTheme="minorEastAsia" w:eastAsiaTheme="minorEastAsia" w:cstheme="minorEastAsia"/>
          <w:b/>
          <w:bCs/>
          <w:sz w:val="32"/>
          <w:szCs w:val="32"/>
          <w:lang w:val="en-US" w:eastAsia="zh-CN" w:bidi="zh-CN"/>
        </w:rPr>
      </w:pPr>
    </w:p>
    <w:p w14:paraId="0528BF13">
      <w:pPr>
        <w:keepNext w:val="0"/>
        <w:keepLines w:val="0"/>
        <w:pageBreakBefore w:val="0"/>
        <w:numPr>
          <w:ilvl w:val="0"/>
          <w:numId w:val="0"/>
        </w:numPr>
        <w:kinsoku/>
        <w:wordWrap/>
        <w:overflowPunct/>
        <w:topLinePunct w:val="0"/>
        <w:bidi w:val="0"/>
        <w:adjustRightInd/>
        <w:snapToGrid/>
        <w:spacing w:line="560" w:lineRule="exact"/>
        <w:ind w:right="0" w:rightChars="0" w:firstLine="640" w:firstLineChars="200"/>
        <w:textAlignment w:val="auto"/>
        <w:outlineLvl w:val="1"/>
        <w:rPr>
          <w:rFonts w:hint="eastAsia" w:ascii="黑体" w:hAnsi="黑体" w:eastAsia="黑体" w:cs="黑体"/>
          <w:b w:val="0"/>
          <w:bCs w:val="0"/>
          <w:color w:val="auto"/>
          <w:sz w:val="32"/>
          <w:szCs w:val="32"/>
          <w:lang w:val="en-US" w:eastAsia="zh-CN" w:bidi="zh-CN"/>
        </w:rPr>
      </w:pPr>
      <w:bookmarkStart w:id="27" w:name="_Toc11640"/>
      <w:r>
        <w:rPr>
          <w:rFonts w:hint="eastAsia" w:ascii="黑体" w:hAnsi="黑体" w:eastAsia="黑体" w:cs="黑体"/>
          <w:b w:val="0"/>
          <w:bCs w:val="0"/>
          <w:color w:val="auto"/>
          <w:sz w:val="32"/>
          <w:szCs w:val="32"/>
          <w:lang w:val="en-US" w:eastAsia="zh-CN" w:bidi="zh-CN"/>
        </w:rPr>
        <w:t>二、就业地域分布分析</w:t>
      </w:r>
      <w:bookmarkEnd w:id="27"/>
    </w:p>
    <w:p w14:paraId="360FA24E">
      <w:pPr>
        <w:pStyle w:val="21"/>
        <w:keepNext w:val="0"/>
        <w:keepLines w:val="0"/>
        <w:pageBreakBefore w:val="0"/>
        <w:kinsoku/>
        <w:wordWrap/>
        <w:overflowPunct/>
        <w:topLinePunct w:val="0"/>
        <w:bidi w:val="0"/>
        <w:adjustRightInd/>
        <w:snapToGrid/>
        <w:spacing w:line="560" w:lineRule="exact"/>
        <w:ind w:left="0" w:leftChars="0" w:firstLine="602" w:firstLineChars="200"/>
        <w:textAlignment w:val="auto"/>
        <w:outlineLvl w:val="2"/>
        <w:rPr>
          <w:rFonts w:hint="eastAsia" w:ascii="宋体" w:hAnsi="宋体" w:eastAsia="宋体" w:cs="宋体"/>
          <w:b/>
          <w:bCs/>
          <w:sz w:val="30"/>
          <w:szCs w:val="30"/>
          <w:lang w:val="en-US" w:eastAsia="zh-CN" w:bidi="zh-CN"/>
        </w:rPr>
      </w:pPr>
      <w:r>
        <w:rPr>
          <w:rFonts w:hint="eastAsia" w:ascii="宋体" w:hAnsi="宋体" w:eastAsia="宋体" w:cs="宋体"/>
          <w:b/>
          <w:bCs/>
          <w:sz w:val="30"/>
          <w:szCs w:val="30"/>
          <w:lang w:val="en-US" w:eastAsia="zh-CN" w:bidi="zh-CN"/>
        </w:rPr>
        <w:t>（一）不同地区就业人数统计</w:t>
      </w:r>
    </w:p>
    <w:p w14:paraId="21A0123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b w:val="0"/>
          <w:bCs/>
          <w:snapToGrid/>
          <w:kern w:val="2"/>
          <w:sz w:val="32"/>
          <w:szCs w:val="32"/>
          <w:lang w:val="en-US" w:eastAsia="zh-CN" w:bidi="ar-SA"/>
        </w:rPr>
      </w:pPr>
      <w:r>
        <w:rPr>
          <w:rFonts w:hint="eastAsia" w:ascii="仿宋" w:hAnsi="仿宋" w:eastAsia="仿宋" w:cs="仿宋"/>
          <w:color w:val="auto"/>
          <w:sz w:val="32"/>
          <w:szCs w:val="32"/>
          <w:lang w:val="en-US" w:eastAsia="zh-CN"/>
        </w:rPr>
        <w:t>2024 届毕业生就业地域分布呈现出一定的特点与规律。按就业地区统计，大部分毕业生在东部地区就业，其中在河北省就业人数占79.95%， 其次是北京、天津、山东等地。在西部地区就业的毕业生多选择青海、四川、内蒙古等地，中部地区以河南、安徽、山西为主。</w:t>
      </w:r>
    </w:p>
    <w:p w14:paraId="76C2330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66"/>
      </w:tblGrid>
      <w:tr w14:paraId="08923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trPr>
        <w:tc>
          <w:tcPr>
            <w:tcW w:w="8766" w:type="dxa"/>
          </w:tcPr>
          <w:p w14:paraId="42571B97">
            <w:pPr>
              <w:spacing w:before="0" w:line="309" w:lineRule="exact"/>
              <w:ind w:left="0" w:right="0" w:firstLine="0"/>
              <w:jc w:val="center"/>
              <w:rPr>
                <w:rFonts w:hint="default" w:asciiTheme="minorEastAsia" w:hAnsiTheme="minorEastAsia" w:eastAsiaTheme="minorEastAsia" w:cstheme="minorEastAsia"/>
                <w:color w:val="auto"/>
                <w:sz w:val="28"/>
                <w:szCs w:val="28"/>
                <w:vertAlign w:val="baseline"/>
                <w:lang w:val="en-US" w:eastAsia="zh-CN"/>
              </w:rPr>
            </w:pPr>
            <w:r>
              <w:rPr>
                <w:rFonts w:hint="eastAsia" w:ascii="宋体" w:hAnsi="宋体" w:eastAsia="宋体" w:cs="宋体"/>
                <w:color w:val="auto"/>
                <w:sz w:val="24"/>
                <w:szCs w:val="24"/>
                <w:lang w:val="en-US" w:eastAsia="zh-CN" w:bidi="zh-CN"/>
              </w:rPr>
              <w:t>表4 2024 届毕业生就业地域人数分布表</w:t>
            </w:r>
          </w:p>
        </w:tc>
      </w:tr>
      <w:tr w14:paraId="6FF4B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66" w:type="dxa"/>
          </w:tcPr>
          <w:tbl>
            <w:tblPr>
              <w:tblStyle w:val="12"/>
              <w:tblW w:w="432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080"/>
              <w:gridCol w:w="1080"/>
              <w:gridCol w:w="1081"/>
            </w:tblGrid>
            <w:tr w14:paraId="186C2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tcBorders>
                    <w:top w:val="nil"/>
                    <w:left w:val="nil"/>
                    <w:bottom w:val="nil"/>
                    <w:right w:val="nil"/>
                  </w:tcBorders>
                  <w:shd w:val="clear" w:color="auto" w:fill="5B9BD5"/>
                  <w:noWrap/>
                  <w:vAlign w:val="center"/>
                </w:tcPr>
                <w:p w14:paraId="3B8D1282">
                  <w:pPr>
                    <w:keepNext w:val="0"/>
                    <w:keepLines w:val="0"/>
                    <w:widowControl/>
                    <w:suppressLineNumbers w:val="0"/>
                    <w:jc w:val="left"/>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就业地区东中西分布</w:t>
                  </w:r>
                </w:p>
              </w:tc>
              <w:tc>
                <w:tcPr>
                  <w:tcW w:w="1080" w:type="dxa"/>
                  <w:tcBorders>
                    <w:top w:val="nil"/>
                    <w:left w:val="nil"/>
                    <w:bottom w:val="nil"/>
                    <w:right w:val="nil"/>
                  </w:tcBorders>
                  <w:shd w:val="clear" w:color="auto" w:fill="5B9BD5"/>
                  <w:noWrap/>
                  <w:vAlign w:val="center"/>
                </w:tcPr>
                <w:p w14:paraId="761BCB4D">
                  <w:pPr>
                    <w:keepNext w:val="0"/>
                    <w:keepLines w:val="0"/>
                    <w:widowControl/>
                    <w:suppressLineNumbers w:val="0"/>
                    <w:jc w:val="left"/>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专科落实人数</w:t>
                  </w:r>
                </w:p>
              </w:tc>
              <w:tc>
                <w:tcPr>
                  <w:tcW w:w="1080" w:type="dxa"/>
                  <w:tcBorders>
                    <w:top w:val="nil"/>
                    <w:left w:val="nil"/>
                    <w:bottom w:val="nil"/>
                    <w:right w:val="nil"/>
                  </w:tcBorders>
                  <w:shd w:val="clear" w:color="auto" w:fill="5B9BD5"/>
                  <w:noWrap/>
                  <w:vAlign w:val="center"/>
                </w:tcPr>
                <w:p w14:paraId="36915C82">
                  <w:pPr>
                    <w:keepNext w:val="0"/>
                    <w:keepLines w:val="0"/>
                    <w:widowControl/>
                    <w:suppressLineNumbers w:val="0"/>
                    <w:jc w:val="left"/>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各分部占比</w:t>
                  </w:r>
                </w:p>
              </w:tc>
              <w:tc>
                <w:tcPr>
                  <w:tcW w:w="1080" w:type="dxa"/>
                  <w:tcBorders>
                    <w:top w:val="nil"/>
                    <w:left w:val="nil"/>
                    <w:bottom w:val="nil"/>
                    <w:right w:val="nil"/>
                  </w:tcBorders>
                  <w:shd w:val="clear" w:color="auto" w:fill="5B9BD5"/>
                  <w:noWrap/>
                  <w:vAlign w:val="center"/>
                </w:tcPr>
                <w:p w14:paraId="5E77C105">
                  <w:pPr>
                    <w:keepNext w:val="0"/>
                    <w:keepLines w:val="0"/>
                    <w:widowControl/>
                    <w:suppressLineNumbers w:val="0"/>
                    <w:jc w:val="left"/>
                    <w:textAlignment w:val="center"/>
                    <w:rPr>
                      <w:rFonts w:hint="eastAsia" w:ascii="宋体" w:hAnsi="宋体" w:eastAsia="宋体" w:cs="宋体"/>
                      <w:b/>
                      <w:bCs/>
                      <w:i w:val="0"/>
                      <w:iCs w:val="0"/>
                      <w:color w:val="FFFFFF"/>
                      <w:sz w:val="22"/>
                      <w:szCs w:val="22"/>
                      <w:u w:val="none"/>
                    </w:rPr>
                  </w:pPr>
                  <w:r>
                    <w:rPr>
                      <w:rFonts w:hint="eastAsia" w:ascii="宋体" w:hAnsi="宋体" w:eastAsia="宋体" w:cs="宋体"/>
                      <w:b/>
                      <w:bCs/>
                      <w:i w:val="0"/>
                      <w:iCs w:val="0"/>
                      <w:color w:val="FFFFFF"/>
                      <w:kern w:val="0"/>
                      <w:sz w:val="22"/>
                      <w:szCs w:val="22"/>
                      <w:u w:val="none"/>
                      <w:lang w:val="en-US" w:eastAsia="zh-CN" w:bidi="ar"/>
                    </w:rPr>
                    <w:t>各分部占比</w:t>
                  </w:r>
                </w:p>
              </w:tc>
            </w:tr>
            <w:tr w14:paraId="4F937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nil"/>
                    <w:left w:val="nil"/>
                    <w:bottom w:val="nil"/>
                    <w:right w:val="nil"/>
                  </w:tcBorders>
                  <w:shd w:val="clear" w:color="auto" w:fill="FFFFFF"/>
                  <w:noWrap/>
                  <w:vAlign w:val="center"/>
                </w:tcPr>
                <w:p w14:paraId="780C9CA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东部</w:t>
                  </w:r>
                </w:p>
              </w:tc>
              <w:tc>
                <w:tcPr>
                  <w:tcW w:w="0" w:type="auto"/>
                  <w:tcBorders>
                    <w:top w:val="nil"/>
                    <w:left w:val="nil"/>
                    <w:bottom w:val="nil"/>
                    <w:right w:val="nil"/>
                  </w:tcBorders>
                  <w:shd w:val="clear" w:color="auto" w:fill="FFFFFF"/>
                  <w:noWrap/>
                  <w:vAlign w:val="center"/>
                </w:tcPr>
                <w:p w14:paraId="5879216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1781</w:t>
                  </w:r>
                </w:p>
              </w:tc>
              <w:tc>
                <w:tcPr>
                  <w:tcW w:w="0" w:type="auto"/>
                  <w:tcBorders>
                    <w:top w:val="nil"/>
                    <w:left w:val="nil"/>
                    <w:bottom w:val="nil"/>
                    <w:right w:val="nil"/>
                  </w:tcBorders>
                  <w:shd w:val="clear" w:color="auto" w:fill="FFFFFF"/>
                  <w:noWrap/>
                  <w:vAlign w:val="bottom"/>
                </w:tcPr>
                <w:p w14:paraId="064B305A">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96.01%</w:t>
                  </w:r>
                </w:p>
              </w:tc>
              <w:tc>
                <w:tcPr>
                  <w:tcW w:w="0" w:type="auto"/>
                  <w:tcBorders>
                    <w:top w:val="nil"/>
                    <w:left w:val="nil"/>
                    <w:bottom w:val="nil"/>
                    <w:right w:val="nil"/>
                  </w:tcBorders>
                  <w:shd w:val="clear" w:color="auto" w:fill="FFFFFF"/>
                  <w:noWrap/>
                  <w:vAlign w:val="bottom"/>
                </w:tcPr>
                <w:p w14:paraId="5668A86E">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96.01%</w:t>
                  </w:r>
                </w:p>
              </w:tc>
            </w:tr>
            <w:tr w14:paraId="1B264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nil"/>
                    <w:left w:val="nil"/>
                    <w:bottom w:val="nil"/>
                    <w:right w:val="nil"/>
                  </w:tcBorders>
                  <w:shd w:val="clear" w:color="auto" w:fill="EEF4FB"/>
                  <w:noWrap/>
                  <w:vAlign w:val="center"/>
                </w:tcPr>
                <w:p w14:paraId="3541F75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西部</w:t>
                  </w:r>
                </w:p>
              </w:tc>
              <w:tc>
                <w:tcPr>
                  <w:tcW w:w="0" w:type="auto"/>
                  <w:tcBorders>
                    <w:top w:val="nil"/>
                    <w:left w:val="nil"/>
                    <w:bottom w:val="nil"/>
                    <w:right w:val="nil"/>
                  </w:tcBorders>
                  <w:shd w:val="clear" w:color="auto" w:fill="EEF4FB"/>
                  <w:noWrap/>
                  <w:vAlign w:val="center"/>
                </w:tcPr>
                <w:p w14:paraId="45E15DD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0" w:type="auto"/>
                  <w:tcBorders>
                    <w:top w:val="nil"/>
                    <w:left w:val="nil"/>
                    <w:bottom w:val="nil"/>
                    <w:right w:val="nil"/>
                  </w:tcBorders>
                  <w:shd w:val="clear" w:color="auto" w:fill="EEF4FB"/>
                  <w:noWrap/>
                  <w:vAlign w:val="bottom"/>
                </w:tcPr>
                <w:p w14:paraId="230F6FC5">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1.83%</w:t>
                  </w:r>
                </w:p>
              </w:tc>
              <w:tc>
                <w:tcPr>
                  <w:tcW w:w="0" w:type="auto"/>
                  <w:tcBorders>
                    <w:top w:val="nil"/>
                    <w:left w:val="nil"/>
                    <w:bottom w:val="nil"/>
                    <w:right w:val="nil"/>
                  </w:tcBorders>
                  <w:shd w:val="clear" w:color="auto" w:fill="EEF4FB"/>
                  <w:noWrap/>
                  <w:vAlign w:val="bottom"/>
                </w:tcPr>
                <w:p w14:paraId="5037A158">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1.83%</w:t>
                  </w:r>
                </w:p>
              </w:tc>
            </w:tr>
            <w:tr w14:paraId="6A758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nil"/>
                    <w:left w:val="nil"/>
                    <w:bottom w:val="nil"/>
                    <w:right w:val="nil"/>
                  </w:tcBorders>
                  <w:shd w:val="clear" w:color="auto" w:fill="FFFFFF"/>
                  <w:noWrap/>
                  <w:vAlign w:val="center"/>
                </w:tcPr>
                <w:p w14:paraId="0B076E9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中部</w:t>
                  </w:r>
                </w:p>
              </w:tc>
              <w:tc>
                <w:tcPr>
                  <w:tcW w:w="0" w:type="auto"/>
                  <w:tcBorders>
                    <w:top w:val="nil"/>
                    <w:left w:val="nil"/>
                    <w:bottom w:val="nil"/>
                    <w:right w:val="nil"/>
                  </w:tcBorders>
                  <w:shd w:val="clear" w:color="auto" w:fill="FFFFFF"/>
                  <w:noWrap/>
                  <w:vAlign w:val="center"/>
                </w:tcPr>
                <w:p w14:paraId="2215674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0" w:type="auto"/>
                  <w:tcBorders>
                    <w:top w:val="nil"/>
                    <w:left w:val="nil"/>
                    <w:bottom w:val="nil"/>
                    <w:right w:val="nil"/>
                  </w:tcBorders>
                  <w:shd w:val="clear" w:color="auto" w:fill="FFFFFF"/>
                  <w:noWrap/>
                  <w:vAlign w:val="bottom"/>
                </w:tcPr>
                <w:p w14:paraId="0FAB4054">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2.16%</w:t>
                  </w:r>
                </w:p>
              </w:tc>
              <w:tc>
                <w:tcPr>
                  <w:tcW w:w="0" w:type="auto"/>
                  <w:tcBorders>
                    <w:top w:val="nil"/>
                    <w:left w:val="nil"/>
                    <w:bottom w:val="nil"/>
                    <w:right w:val="nil"/>
                  </w:tcBorders>
                  <w:shd w:val="clear" w:color="auto" w:fill="FFFFFF"/>
                  <w:noWrap/>
                  <w:vAlign w:val="bottom"/>
                </w:tcPr>
                <w:p w14:paraId="0EADCC64">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2.16%</w:t>
                  </w:r>
                </w:p>
              </w:tc>
            </w:tr>
            <w:tr w14:paraId="76676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nil"/>
                    <w:left w:val="nil"/>
                    <w:bottom w:val="single" w:color="5B9BD5" w:sz="4" w:space="0"/>
                    <w:right w:val="nil"/>
                  </w:tcBorders>
                  <w:shd w:val="clear" w:color="auto" w:fill="EEF4FB"/>
                  <w:noWrap/>
                  <w:vAlign w:val="center"/>
                </w:tcPr>
                <w:p w14:paraId="212D6DA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0" w:type="auto"/>
                  <w:tcBorders>
                    <w:top w:val="nil"/>
                    <w:left w:val="nil"/>
                    <w:bottom w:val="single" w:color="5B9BD5" w:sz="4" w:space="0"/>
                    <w:right w:val="nil"/>
                  </w:tcBorders>
                  <w:shd w:val="clear" w:color="auto" w:fill="EEF4FB"/>
                  <w:noWrap/>
                  <w:vAlign w:val="center"/>
                </w:tcPr>
                <w:p w14:paraId="510C84E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1855</w:t>
                  </w:r>
                </w:p>
              </w:tc>
              <w:tc>
                <w:tcPr>
                  <w:tcW w:w="0" w:type="auto"/>
                  <w:tcBorders>
                    <w:top w:val="nil"/>
                    <w:left w:val="nil"/>
                    <w:bottom w:val="single" w:color="5B9BD5" w:sz="4" w:space="0"/>
                    <w:right w:val="nil"/>
                  </w:tcBorders>
                  <w:shd w:val="clear" w:color="auto" w:fill="EEF4FB"/>
                  <w:noWrap/>
                  <w:vAlign w:val="bottom"/>
                </w:tcPr>
                <w:p w14:paraId="1DDE83E7">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w:t>
                  </w:r>
                </w:p>
              </w:tc>
              <w:tc>
                <w:tcPr>
                  <w:tcW w:w="0" w:type="auto"/>
                  <w:tcBorders>
                    <w:top w:val="nil"/>
                    <w:left w:val="nil"/>
                    <w:bottom w:val="single" w:color="5B9BD5" w:sz="4" w:space="0"/>
                    <w:right w:val="nil"/>
                  </w:tcBorders>
                  <w:shd w:val="clear" w:color="auto" w:fill="EEF4FB"/>
                  <w:noWrap/>
                  <w:vAlign w:val="bottom"/>
                </w:tcPr>
                <w:p w14:paraId="3EAC21DB">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w:t>
                  </w:r>
                </w:p>
              </w:tc>
            </w:tr>
          </w:tbl>
          <w:p w14:paraId="57E3A288">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color w:val="auto"/>
                <w:sz w:val="28"/>
                <w:szCs w:val="28"/>
                <w:vertAlign w:val="baseline"/>
                <w:lang w:val="en-US" w:eastAsia="zh-CN"/>
              </w:rPr>
            </w:pPr>
          </w:p>
        </w:tc>
      </w:tr>
    </w:tbl>
    <w:p w14:paraId="6306928D">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1"/>
        <w:rPr>
          <w:rFonts w:hint="eastAsia" w:ascii="仿宋" w:hAnsi="仿宋" w:eastAsia="仿宋" w:cs="仿宋"/>
          <w:b w:val="0"/>
          <w:bCs/>
          <w:snapToGrid/>
          <w:kern w:val="2"/>
          <w:sz w:val="32"/>
          <w:szCs w:val="32"/>
          <w:lang w:val="en-US" w:eastAsia="zh-CN" w:bidi="ar-SA"/>
        </w:rPr>
      </w:pPr>
    </w:p>
    <w:p w14:paraId="199F2D0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在各省份中，河北省的就业人数最多，达到 1483人，占毕业生总人数的 79.95%，这主要得益于该省较为发达的制造业和物流产业集群，为毕业生提供了大量岗位。同时，京津冀协同发展战略深入推进，众多企业在此布局，人才需求持续增长，吸引毕业生留冀就业。紧随其后的是北京，就业人数为171人，占比 9.22%，该省作为国家首都，政治、文化、国际交往与科技创新中心的地位显著。</w:t>
      </w:r>
    </w:p>
    <w:p w14:paraId="78303BB8">
      <w:pPr>
        <w:keepNext w:val="0"/>
        <w:keepLines w:val="0"/>
        <w:pageBreakBefore w:val="0"/>
        <w:numPr>
          <w:ilvl w:val="0"/>
          <w:numId w:val="0"/>
        </w:numPr>
        <w:kinsoku/>
        <w:wordWrap/>
        <w:overflowPunct/>
        <w:topLinePunct w:val="0"/>
        <w:bidi w:val="0"/>
        <w:adjustRightInd/>
        <w:snapToGrid/>
        <w:spacing w:line="560" w:lineRule="exact"/>
        <w:ind w:right="0" w:rightChars="0" w:firstLine="640" w:firstLineChars="200"/>
        <w:textAlignment w:val="auto"/>
        <w:outlineLvl w:val="1"/>
        <w:rPr>
          <w:rFonts w:hint="eastAsia" w:ascii="黑体" w:hAnsi="黑体" w:eastAsia="黑体" w:cs="黑体"/>
          <w:b w:val="0"/>
          <w:bCs w:val="0"/>
          <w:color w:val="auto"/>
          <w:sz w:val="32"/>
          <w:szCs w:val="32"/>
          <w:lang w:val="en-US" w:eastAsia="zh-CN" w:bidi="zh-CN"/>
        </w:rPr>
      </w:pPr>
      <w:bookmarkStart w:id="28" w:name="_Toc19893"/>
      <w:r>
        <w:rPr>
          <w:rFonts w:hint="eastAsia" w:ascii="黑体" w:hAnsi="黑体" w:eastAsia="黑体" w:cs="黑体"/>
          <w:b w:val="0"/>
          <w:bCs w:val="0"/>
          <w:color w:val="auto"/>
          <w:sz w:val="32"/>
          <w:szCs w:val="32"/>
          <w:lang w:val="en-US" w:eastAsia="zh-CN" w:bidi="zh-CN"/>
        </w:rPr>
        <w:t>三、重点地区就业</w:t>
      </w:r>
      <w:bookmarkEnd w:id="28"/>
    </w:p>
    <w:p w14:paraId="28EE0BE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学校持续推进就业引导工作，紧密围绕国家战略，积极服务实体经济，主动对接长、西部大开发、京津冀协同发展等重大国家战略。通过精准施策、精准着力、精准引导，鼓励毕业生到国家重点地区建功立业。</w:t>
      </w:r>
    </w:p>
    <w:p w14:paraId="1D538E7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b w:val="0"/>
          <w:bCs/>
          <w:snapToGrid/>
          <w:kern w:val="2"/>
          <w:sz w:val="32"/>
          <w:szCs w:val="32"/>
          <w:lang w:val="en-US" w:eastAsia="zh-CN" w:bidi="ar-SA"/>
        </w:rPr>
      </w:pPr>
      <w:r>
        <w:rPr>
          <w:rFonts w:hint="eastAsia" w:ascii="仿宋" w:hAnsi="仿宋" w:eastAsia="仿宋" w:cs="仿宋"/>
          <w:color w:val="auto"/>
          <w:sz w:val="32"/>
          <w:szCs w:val="32"/>
          <w:lang w:val="en-US" w:eastAsia="zh-CN"/>
        </w:rPr>
        <w:t>2024届毕业生中选择京津冀地区、东部地区就业的分别占就业人数的91.92%、96.01%，相较 2023 届，2024 届毕业生奔赴重大国家战略所涉及省份就业人数的比例均有所增长。</w:t>
      </w:r>
    </w:p>
    <w:p w14:paraId="7F8AE9F9">
      <w:pPr>
        <w:numPr>
          <w:ilvl w:val="0"/>
          <w:numId w:val="0"/>
        </w:numPr>
        <w:ind w:right="0" w:rightChars="0"/>
        <w:rPr>
          <w:rFonts w:hint="eastAsia"/>
        </w:rPr>
      </w:pPr>
    </w:p>
    <w:p w14:paraId="107D0C1E">
      <w:pPr>
        <w:pStyle w:val="2"/>
        <w:bidi w:val="0"/>
        <w:ind w:left="0" w:leftChars="0" w:right="0" w:rightChars="0"/>
        <w:outlineLvl w:val="0"/>
        <w:rPr>
          <w:rFonts w:hint="eastAsia" w:ascii="黑体" w:hAnsi="黑体" w:eastAsia="黑体" w:cs="黑体"/>
          <w:color w:val="auto"/>
          <w:sz w:val="44"/>
          <w:szCs w:val="44"/>
          <w:lang w:val="zh-CN" w:eastAsia="zh-CN" w:bidi="zh-CN"/>
        </w:rPr>
      </w:pPr>
      <w:bookmarkStart w:id="29" w:name="_Toc31776"/>
      <w:r>
        <w:rPr>
          <w:rFonts w:hint="eastAsia" w:ascii="黑体" w:hAnsi="黑体" w:eastAsia="黑体" w:cs="黑体"/>
          <w:color w:val="auto"/>
          <w:sz w:val="44"/>
          <w:szCs w:val="44"/>
          <w:lang w:val="zh-CN" w:eastAsia="zh-CN" w:bidi="zh-CN"/>
        </w:rPr>
        <w:t>第</w:t>
      </w:r>
      <w:r>
        <w:rPr>
          <w:rFonts w:hint="eastAsia" w:ascii="黑体" w:hAnsi="黑体" w:eastAsia="黑体" w:cs="黑体"/>
          <w:color w:val="auto"/>
          <w:sz w:val="44"/>
          <w:szCs w:val="44"/>
          <w:lang w:val="en-US" w:eastAsia="zh-CN" w:bidi="zh-CN"/>
        </w:rPr>
        <w:t>四</w:t>
      </w:r>
      <w:r>
        <w:rPr>
          <w:rFonts w:hint="eastAsia" w:ascii="黑体" w:hAnsi="黑体" w:eastAsia="黑体" w:cs="黑体"/>
          <w:color w:val="auto"/>
          <w:sz w:val="44"/>
          <w:szCs w:val="44"/>
          <w:lang w:val="zh-CN" w:eastAsia="zh-CN" w:bidi="zh-CN"/>
        </w:rPr>
        <w:t>章  就业工作重点举措</w:t>
      </w:r>
      <w:bookmarkEnd w:id="29"/>
    </w:p>
    <w:p w14:paraId="4EDE5280">
      <w:pPr>
        <w:widowControl w:val="0"/>
        <w:numPr>
          <w:ilvl w:val="0"/>
          <w:numId w:val="0"/>
        </w:numPr>
        <w:autoSpaceDE w:val="0"/>
        <w:autoSpaceDN w:val="0"/>
        <w:spacing w:before="0" w:after="0" w:line="240" w:lineRule="auto"/>
        <w:ind w:right="0" w:rightChars="0"/>
        <w:jc w:val="left"/>
        <w:rPr>
          <w:rFonts w:hint="eastAsia"/>
        </w:rPr>
      </w:pPr>
    </w:p>
    <w:p w14:paraId="2BCDB1A1">
      <w:pPr>
        <w:keepNext w:val="0"/>
        <w:keepLines w:val="0"/>
        <w:pageBreakBefore w:val="0"/>
        <w:numPr>
          <w:ilvl w:val="0"/>
          <w:numId w:val="3"/>
        </w:numPr>
        <w:kinsoku/>
        <w:wordWrap/>
        <w:overflowPunct/>
        <w:topLinePunct w:val="0"/>
        <w:bidi w:val="0"/>
        <w:adjustRightInd/>
        <w:snapToGrid/>
        <w:spacing w:line="560" w:lineRule="exact"/>
        <w:ind w:right="0" w:rightChars="0" w:firstLine="640" w:firstLineChars="200"/>
        <w:textAlignment w:val="auto"/>
        <w:outlineLvl w:val="1"/>
        <w:rPr>
          <w:rFonts w:hint="eastAsia" w:ascii="黑体" w:hAnsi="黑体" w:eastAsia="黑体" w:cs="黑体"/>
          <w:b w:val="0"/>
          <w:bCs w:val="0"/>
          <w:color w:val="auto"/>
          <w:sz w:val="32"/>
          <w:szCs w:val="32"/>
          <w:lang w:val="en-US" w:eastAsia="zh-CN" w:bidi="zh-CN"/>
        </w:rPr>
      </w:pPr>
      <w:bookmarkStart w:id="30" w:name="_Toc19306"/>
      <w:r>
        <w:rPr>
          <w:rFonts w:hint="eastAsia" w:ascii="黑体" w:hAnsi="黑体" w:eastAsia="黑体" w:cs="黑体"/>
          <w:b w:val="0"/>
          <w:bCs w:val="0"/>
          <w:color w:val="auto"/>
          <w:sz w:val="32"/>
          <w:szCs w:val="32"/>
          <w:lang w:val="en-US" w:eastAsia="zh-CN" w:bidi="zh-CN"/>
        </w:rPr>
        <w:t>就业创业教育基础建设</w:t>
      </w:r>
      <w:bookmarkEnd w:id="30"/>
    </w:p>
    <w:p w14:paraId="122188D1">
      <w:pPr>
        <w:pStyle w:val="21"/>
        <w:keepNext w:val="0"/>
        <w:keepLines w:val="0"/>
        <w:pageBreakBefore w:val="0"/>
        <w:kinsoku/>
        <w:wordWrap/>
        <w:overflowPunct/>
        <w:topLinePunct w:val="0"/>
        <w:bidi w:val="0"/>
        <w:adjustRightInd/>
        <w:snapToGrid/>
        <w:spacing w:line="560" w:lineRule="exact"/>
        <w:ind w:left="0" w:leftChars="0" w:firstLine="602" w:firstLineChars="200"/>
        <w:textAlignment w:val="auto"/>
        <w:outlineLvl w:val="2"/>
        <w:rPr>
          <w:rFonts w:hint="eastAsia" w:ascii="宋体" w:hAnsi="宋体" w:eastAsia="宋体" w:cs="宋体"/>
          <w:b/>
          <w:bCs/>
          <w:sz w:val="30"/>
          <w:szCs w:val="30"/>
          <w:lang w:val="en-US" w:eastAsia="zh-CN" w:bidi="zh-CN"/>
        </w:rPr>
      </w:pPr>
      <w:r>
        <w:rPr>
          <w:rFonts w:hint="eastAsia" w:ascii="宋体" w:hAnsi="宋体" w:eastAsia="宋体" w:cs="宋体"/>
          <w:b/>
          <w:bCs/>
          <w:sz w:val="30"/>
          <w:szCs w:val="30"/>
          <w:lang w:val="en-US" w:eastAsia="zh-CN" w:bidi="zh-CN"/>
        </w:rPr>
        <w:t>（一）强师赋能、以赛促教</w:t>
      </w:r>
    </w:p>
    <w:p w14:paraId="446FAB8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color w:val="auto"/>
          <w:sz w:val="32"/>
          <w:szCs w:val="32"/>
          <w:lang w:val="en-US" w:eastAsia="zh-CN"/>
        </w:rPr>
      </w:pPr>
      <w:bookmarkStart w:id="31" w:name="_Toc30233"/>
      <w:bookmarkStart w:id="32" w:name="_Toc19464"/>
      <w:r>
        <w:rPr>
          <w:rFonts w:hint="eastAsia" w:ascii="仿宋" w:hAnsi="仿宋" w:eastAsia="仿宋" w:cs="仿宋"/>
          <w:color w:val="auto"/>
          <w:sz w:val="32"/>
          <w:szCs w:val="32"/>
          <w:lang w:val="en-US" w:eastAsia="zh-CN"/>
        </w:rPr>
        <w:t>学校积极响应教育厅举办大学生职业规划大赛，24年组织学校全体学生参加，共计报名3462个项目。在各二级学院内部选拔出校赛20名选手，校赛在一站式演播厅进行开展，邀请领导教师共当评委，对参赛学生指导点评，给予建设性意见，并推荐进入省赛2名选手。鼓励指导教师对选手进行指导培训，以赛促教，帮助学生更好完成作品。</w:t>
      </w:r>
      <w:bookmarkEnd w:id="31"/>
    </w:p>
    <w:p w14:paraId="16FD335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color w:val="auto"/>
          <w:sz w:val="32"/>
          <w:szCs w:val="32"/>
          <w:lang w:val="en-US" w:eastAsia="zh-CN"/>
        </w:rPr>
      </w:pPr>
    </w:p>
    <w:p w14:paraId="4D40947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color w:val="auto"/>
          <w:sz w:val="32"/>
          <w:szCs w:val="32"/>
          <w:lang w:val="en-US" w:eastAsia="zh-CN"/>
        </w:rPr>
      </w:pPr>
    </w:p>
    <w:p w14:paraId="0B34FD32">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1"/>
      </w:pPr>
      <w:bookmarkStart w:id="33" w:name="_Toc29656"/>
      <w:r>
        <w:drawing>
          <wp:inline distT="0" distB="0" distL="114300" distR="114300">
            <wp:extent cx="5316855" cy="3008630"/>
            <wp:effectExtent l="0" t="0" r="1905" b="8890"/>
            <wp:docPr id="13" name="图片 3" descr="webwxgetmsg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webwxgetmsgimg"/>
                    <pic:cNvPicPr>
                      <a:picLocks noChangeAspect="1"/>
                    </pic:cNvPicPr>
                  </pic:nvPicPr>
                  <pic:blipFill>
                    <a:blip r:embed="rId19"/>
                    <a:srcRect t="14781"/>
                    <a:stretch>
                      <a:fillRect/>
                    </a:stretch>
                  </pic:blipFill>
                  <pic:spPr>
                    <a:xfrm>
                      <a:off x="0" y="0"/>
                      <a:ext cx="5316855" cy="3008630"/>
                    </a:xfrm>
                    <a:prstGeom prst="rect">
                      <a:avLst/>
                    </a:prstGeom>
                  </pic:spPr>
                </pic:pic>
              </a:graphicData>
            </a:graphic>
          </wp:inline>
        </w:drawing>
      </w:r>
      <w:bookmarkEnd w:id="33"/>
    </w:p>
    <w:p w14:paraId="7411AFA2">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1"/>
      </w:pPr>
    </w:p>
    <w:p w14:paraId="55565AA3">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1"/>
        <w:rPr>
          <w:rFonts w:hint="eastAsia"/>
          <w:lang w:val="en-US" w:eastAsia="zh-CN"/>
        </w:rPr>
      </w:pPr>
    </w:p>
    <w:bookmarkEnd w:id="32"/>
    <w:p w14:paraId="2B4F53E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教务处举办了2024年度“精彩一课”教学技能竞赛活动。就业指导与创新创业课程参与其中。在竞赛互动交流中教师们提升自身业务水平和教学水平，提高了课堂质量。</w:t>
      </w:r>
    </w:p>
    <w:p w14:paraId="4DA2DA88">
      <w:pPr>
        <w:pStyle w:val="21"/>
        <w:keepNext w:val="0"/>
        <w:keepLines w:val="0"/>
        <w:pageBreakBefore w:val="0"/>
        <w:kinsoku/>
        <w:wordWrap/>
        <w:overflowPunct/>
        <w:topLinePunct w:val="0"/>
        <w:bidi w:val="0"/>
        <w:adjustRightInd/>
        <w:snapToGrid/>
        <w:spacing w:line="560" w:lineRule="exact"/>
        <w:ind w:left="0" w:leftChars="0" w:firstLine="602" w:firstLineChars="200"/>
        <w:textAlignment w:val="auto"/>
        <w:outlineLvl w:val="2"/>
        <w:rPr>
          <w:rFonts w:hint="eastAsia" w:ascii="宋体" w:hAnsi="宋体" w:eastAsia="宋体" w:cs="宋体"/>
          <w:b/>
          <w:bCs/>
          <w:sz w:val="30"/>
          <w:szCs w:val="30"/>
          <w:lang w:val="en-US" w:eastAsia="zh-CN" w:bidi="zh-CN"/>
        </w:rPr>
      </w:pPr>
      <w:r>
        <w:rPr>
          <w:rFonts w:hint="eastAsia" w:ascii="宋体" w:hAnsi="宋体" w:eastAsia="宋体" w:cs="宋体"/>
          <w:b/>
          <w:bCs/>
          <w:sz w:val="30"/>
          <w:szCs w:val="30"/>
          <w:lang w:val="en-US" w:eastAsia="zh-CN" w:bidi="zh-CN"/>
        </w:rPr>
        <w:t>（二）开展活动，以赛促就业</w:t>
      </w:r>
    </w:p>
    <w:p w14:paraId="0DCB0F0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color w:val="auto"/>
          <w:sz w:val="32"/>
          <w:szCs w:val="32"/>
          <w:lang w:val="en-US" w:eastAsia="zh-CN"/>
        </w:rPr>
      </w:pPr>
      <w:bookmarkStart w:id="34" w:name="_Toc27360"/>
      <w:r>
        <w:rPr>
          <w:rFonts w:hint="eastAsia" w:ascii="仿宋" w:hAnsi="仿宋" w:eastAsia="仿宋" w:cs="仿宋"/>
          <w:color w:val="auto"/>
          <w:sz w:val="32"/>
          <w:szCs w:val="32"/>
          <w:lang w:val="en-US" w:eastAsia="zh-CN"/>
        </w:rPr>
        <w:t>学校广泛开展创业赛事指导、创业培训等实践活动，积极组织学生参加“互联网+”、 “学创杯”、“简历设计大赛”、“河北省中华职业教育创新创业大赛”、“全国大学生创新创业能力大赛”等各项大学生创新创业大赛。</w:t>
      </w:r>
      <w:bookmarkEnd w:id="34"/>
    </w:p>
    <w:p w14:paraId="50898AB4">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1"/>
        <w:rPr>
          <w:rFonts w:hint="eastAsia" w:ascii="仿宋" w:hAnsi="仿宋" w:eastAsia="仿宋" w:cs="仿宋"/>
          <w:color w:val="auto"/>
          <w:sz w:val="32"/>
          <w:szCs w:val="32"/>
          <w:lang w:val="en-US" w:eastAsia="zh-CN"/>
        </w:rPr>
      </w:pPr>
      <w:bookmarkStart w:id="35" w:name="_Toc14318"/>
      <w:r>
        <w:rPr>
          <w:rFonts w:hint="eastAsia" w:ascii="仿宋" w:hAnsi="仿宋" w:eastAsia="仿宋" w:cs="仿宋"/>
          <w:color w:val="auto"/>
          <w:sz w:val="32"/>
          <w:szCs w:val="32"/>
          <w:lang w:val="en-US" w:eastAsia="zh-CN"/>
        </w:rPr>
        <w:t>2024年赛事成绩尤为突出，在“学创杯”省赛获得二等奖两组，三等奖三组、优秀指导教师五组。“第十届河北省企业竞争模拟大赛企业运营赛道决赛”中荣获“二等奖”两组、“三等奖”两组。“2024全国大学生数字创新能力大赛全国复赛”荣获“团体优秀奖”。</w:t>
      </w:r>
      <w:bookmarkEnd w:id="35"/>
    </w:p>
    <w:p w14:paraId="332A08D8">
      <w:pPr>
        <w:keepNext w:val="0"/>
        <w:keepLines w:val="0"/>
        <w:pageBreakBefore w:val="0"/>
        <w:widowControl/>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b w:val="0"/>
          <w:bCs/>
          <w:snapToGrid/>
          <w:kern w:val="2"/>
          <w:sz w:val="32"/>
          <w:szCs w:val="32"/>
          <w:lang w:val="en-US" w:eastAsia="zh-CN" w:bidi="ar-SA"/>
        </w:rPr>
      </w:pPr>
    </w:p>
    <w:p w14:paraId="4AF9F8E7">
      <w:pPr>
        <w:keepNext w:val="0"/>
        <w:keepLines w:val="0"/>
        <w:pageBreakBefore w:val="0"/>
        <w:numPr>
          <w:ilvl w:val="0"/>
          <w:numId w:val="4"/>
        </w:numPr>
        <w:kinsoku/>
        <w:wordWrap/>
        <w:overflowPunct/>
        <w:topLinePunct w:val="0"/>
        <w:bidi w:val="0"/>
        <w:adjustRightInd/>
        <w:snapToGrid/>
        <w:spacing w:line="560" w:lineRule="exact"/>
        <w:ind w:leftChars="200" w:right="0" w:rightChars="0"/>
        <w:textAlignment w:val="auto"/>
        <w:outlineLvl w:val="1"/>
        <w:rPr>
          <w:rFonts w:hint="default" w:ascii="黑体" w:hAnsi="黑体" w:eastAsia="黑体" w:cs="黑体"/>
          <w:b w:val="0"/>
          <w:bCs w:val="0"/>
          <w:color w:val="auto"/>
          <w:sz w:val="32"/>
          <w:szCs w:val="32"/>
          <w:highlight w:val="none"/>
          <w:lang w:val="en-US" w:eastAsia="zh-CN" w:bidi="zh-CN"/>
        </w:rPr>
      </w:pPr>
      <w:bookmarkStart w:id="36" w:name="_Toc29063"/>
      <w:r>
        <w:rPr>
          <w:rFonts w:hint="eastAsia" w:ascii="黑体" w:hAnsi="黑体" w:eastAsia="黑体" w:cs="黑体"/>
          <w:b w:val="0"/>
          <w:bCs w:val="0"/>
          <w:color w:val="auto"/>
          <w:sz w:val="32"/>
          <w:szCs w:val="32"/>
          <w:lang w:val="en-US" w:eastAsia="zh-CN" w:bidi="zh-CN"/>
        </w:rPr>
        <w:t>搭建</w:t>
      </w:r>
      <w:r>
        <w:rPr>
          <w:rFonts w:hint="eastAsia" w:ascii="黑体" w:hAnsi="黑体" w:eastAsia="黑体" w:cs="黑体"/>
          <w:b w:val="0"/>
          <w:bCs w:val="0"/>
          <w:color w:val="auto"/>
          <w:sz w:val="32"/>
          <w:szCs w:val="32"/>
          <w:highlight w:val="none"/>
          <w:lang w:val="en-US" w:eastAsia="zh-CN" w:bidi="zh-CN"/>
        </w:rPr>
        <w:t>就业信息服务平台</w:t>
      </w:r>
      <w:bookmarkEnd w:id="36"/>
      <w:r>
        <w:rPr>
          <w:rFonts w:hint="eastAsia" w:ascii="黑体" w:hAnsi="黑体" w:eastAsia="黑体" w:cs="黑体"/>
          <w:b w:val="0"/>
          <w:bCs w:val="0"/>
          <w:color w:val="auto"/>
          <w:sz w:val="32"/>
          <w:szCs w:val="32"/>
          <w:highlight w:val="none"/>
          <w:lang w:val="en-US" w:eastAsia="zh-CN" w:bidi="zh-CN"/>
        </w:rPr>
        <w:t>，宣传就业创业政策</w:t>
      </w:r>
    </w:p>
    <w:p w14:paraId="6616EA5B">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1"/>
        <w:rPr>
          <w:rFonts w:hint="eastAsia" w:ascii="仿宋" w:hAnsi="仿宋" w:eastAsia="仿宋" w:cs="仿宋"/>
          <w:color w:val="auto"/>
          <w:sz w:val="32"/>
          <w:szCs w:val="32"/>
          <w:lang w:val="en-US" w:eastAsia="zh-CN"/>
        </w:rPr>
      </w:pPr>
      <w:bookmarkStart w:id="37" w:name="_Toc31968"/>
      <w:bookmarkStart w:id="38" w:name="_Toc31893"/>
      <w:r>
        <w:rPr>
          <w:rFonts w:hint="eastAsia" w:ascii="仿宋" w:hAnsi="仿宋" w:eastAsia="仿宋" w:cs="仿宋"/>
          <w:color w:val="auto"/>
          <w:sz w:val="32"/>
          <w:szCs w:val="32"/>
          <w:lang w:val="en-US" w:eastAsia="zh-CN"/>
        </w:rPr>
        <w:t>学校官网嵌入国家大学生就业服务平台实现信息共享，2024 年通过多渠道发布就业创业政策、信息近千条，全年发布岗位信息过万条。学校响应教育厅活动，召开毕业生就业指导及政策解读会 3 次，组织辅导员开主题班会，宣传多类政策，引导基层就业。</w:t>
      </w:r>
      <w:bookmarkEnd w:id="37"/>
      <w:bookmarkEnd w:id="38"/>
    </w:p>
    <w:p w14:paraId="5FABDD15">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pPr>
      <w:r>
        <w:drawing>
          <wp:inline distT="0" distB="0" distL="114300" distR="114300">
            <wp:extent cx="4841875" cy="4961255"/>
            <wp:effectExtent l="0" t="0" r="9525" b="444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0"/>
                    <a:srcRect l="2226" r="4219"/>
                    <a:stretch>
                      <a:fillRect/>
                    </a:stretch>
                  </pic:blipFill>
                  <pic:spPr>
                    <a:xfrm>
                      <a:off x="0" y="0"/>
                      <a:ext cx="4841875" cy="4961255"/>
                    </a:xfrm>
                    <a:prstGeom prst="rect">
                      <a:avLst/>
                    </a:prstGeom>
                  </pic:spPr>
                </pic:pic>
              </a:graphicData>
            </a:graphic>
          </wp:inline>
        </w:drawing>
      </w:r>
    </w:p>
    <w:p w14:paraId="05942136">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left"/>
        <w:textAlignment w:val="auto"/>
      </w:pPr>
    </w:p>
    <w:p w14:paraId="0EA6E900">
      <w:pPr>
        <w:keepNext w:val="0"/>
        <w:keepLines w:val="0"/>
        <w:pageBreakBefore w:val="0"/>
        <w:widowControl w:val="0"/>
        <w:kinsoku/>
        <w:wordWrap/>
        <w:overflowPunct/>
        <w:topLinePunct w:val="0"/>
        <w:autoSpaceDE/>
        <w:autoSpaceDN/>
        <w:bidi w:val="0"/>
        <w:adjustRightInd/>
        <w:snapToGrid/>
        <w:spacing w:line="360" w:lineRule="auto"/>
        <w:jc w:val="left"/>
        <w:textAlignment w:val="auto"/>
      </w:pPr>
    </w:p>
    <w:p w14:paraId="267B853A">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1"/>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联合武装部征兵宣传进校园、邀请学生体验基干民兵训练，积极动员毕业生参军入伍，完成大学生的征兵工作。22年毕业生应征入伍35人、23年毕业生应征入伍45人、24年毕业生应征入伍51人。近三年参与征兵人员质量提高，人数节节攀升。</w:t>
      </w:r>
    </w:p>
    <w:p w14:paraId="127D9161">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val="0"/>
          <w:bCs/>
          <w:snapToGrid/>
          <w:kern w:val="2"/>
          <w:sz w:val="32"/>
          <w:szCs w:val="32"/>
          <w:lang w:val="en-US" w:eastAsia="zh-CN" w:bidi="ar-SA"/>
        </w:rPr>
      </w:pPr>
    </w:p>
    <w:p w14:paraId="17947882">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snapToGrid/>
          <w:kern w:val="2"/>
          <w:sz w:val="32"/>
          <w:szCs w:val="32"/>
          <w:lang w:val="en-US" w:eastAsia="zh-CN" w:bidi="ar-SA"/>
        </w:rPr>
      </w:pPr>
      <w:r>
        <w:drawing>
          <wp:inline distT="0" distB="0" distL="114300" distR="114300">
            <wp:extent cx="4683125" cy="2941955"/>
            <wp:effectExtent l="0" t="0" r="3175" b="4445"/>
            <wp:docPr id="4" name="图片 3" descr="3122a1cb065179702193360ad5e1b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3122a1cb065179702193360ad5e1bc3"/>
                    <pic:cNvPicPr>
                      <a:picLocks noChangeAspect="1"/>
                    </pic:cNvPicPr>
                  </pic:nvPicPr>
                  <pic:blipFill>
                    <a:blip r:embed="rId21"/>
                    <a:srcRect b="16269"/>
                    <a:stretch>
                      <a:fillRect/>
                    </a:stretch>
                  </pic:blipFill>
                  <pic:spPr>
                    <a:xfrm>
                      <a:off x="0" y="0"/>
                      <a:ext cx="4683125" cy="2941955"/>
                    </a:xfrm>
                    <a:prstGeom prst="rect">
                      <a:avLst/>
                    </a:prstGeom>
                  </pic:spPr>
                </pic:pic>
              </a:graphicData>
            </a:graphic>
          </wp:inline>
        </w:drawing>
      </w:r>
    </w:p>
    <w:p w14:paraId="3649A17C">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pPr>
      <w:r>
        <w:drawing>
          <wp:inline distT="0" distB="0" distL="114300" distR="114300">
            <wp:extent cx="4692015" cy="3643630"/>
            <wp:effectExtent l="0" t="0" r="1905" b="13970"/>
            <wp:docPr id="7" name="图片 6" descr="adc33f10a860e25ea01cc6af37601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adc33f10a860e25ea01cc6af37601dc"/>
                    <pic:cNvPicPr>
                      <a:picLocks noChangeAspect="1"/>
                    </pic:cNvPicPr>
                  </pic:nvPicPr>
                  <pic:blipFill>
                    <a:blip r:embed="rId22"/>
                    <a:srcRect l="21681" t="17611" r="21896" b="23981"/>
                    <a:stretch>
                      <a:fillRect/>
                    </a:stretch>
                  </pic:blipFill>
                  <pic:spPr>
                    <a:xfrm>
                      <a:off x="0" y="0"/>
                      <a:ext cx="4692015" cy="3643630"/>
                    </a:xfrm>
                    <a:prstGeom prst="rect">
                      <a:avLst/>
                    </a:prstGeom>
                  </pic:spPr>
                </pic:pic>
              </a:graphicData>
            </a:graphic>
          </wp:inline>
        </w:drawing>
      </w:r>
    </w:p>
    <w:p w14:paraId="1E02678D">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left"/>
        <w:textAlignment w:val="auto"/>
        <w:rPr>
          <w:rFonts w:hint="eastAsia"/>
          <w:lang w:val="en-US" w:eastAsia="zh-CN"/>
        </w:rPr>
      </w:pPr>
    </w:p>
    <w:p w14:paraId="20FD5B61">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pPr>
      <w:r>
        <w:rPr>
          <w:rFonts w:hint="eastAsia" w:ascii="仿宋" w:hAnsi="仿宋" w:eastAsia="仿宋" w:cs="仿宋"/>
          <w:b w:val="0"/>
          <w:bCs/>
          <w:snapToGrid/>
          <w:kern w:val="2"/>
          <w:sz w:val="32"/>
          <w:szCs w:val="32"/>
          <w:lang w:val="en-US" w:eastAsia="zh-CN" w:bidi="ar-SA"/>
        </w:rPr>
        <w:t>学校积极组织毕业生参加网络招聘会及教育厅专场招聘活动。2024 年，参与教育厅联办招聘会 30 余场，学校自办线上招聘会 8 场，有 674 家企业参与，提供 2950 个岗位，还通过校聘云</w:t>
      </w:r>
      <w:r>
        <w:rPr>
          <w:rFonts w:hint="eastAsia" w:ascii="仿宋" w:hAnsi="仿宋" w:eastAsia="仿宋" w:cs="仿宋"/>
          <w:b w:val="0"/>
          <w:bCs/>
          <w:sz w:val="32"/>
          <w:szCs w:val="32"/>
          <w:lang w:val="en-US" w:eastAsia="zh-CN"/>
        </w:rPr>
        <w:t>组织了“春风行动”、“百日冲刺”活动等线上双选会</w:t>
      </w:r>
      <w:r>
        <w:rPr>
          <w:rFonts w:hint="eastAsia" w:ascii="仿宋" w:hAnsi="仿宋" w:eastAsia="仿宋" w:cs="仿宋"/>
          <w:b w:val="0"/>
          <w:bCs/>
          <w:snapToGrid/>
          <w:kern w:val="2"/>
          <w:sz w:val="32"/>
          <w:szCs w:val="32"/>
          <w:lang w:val="en-US" w:eastAsia="zh-CN" w:bidi="ar-SA"/>
        </w:rPr>
        <w:t xml:space="preserve">。22 - 24 年，学校组织毕业生参与厅里联办及依托校聘云举办的线上线下招聘会共 134 场，为用人单位与学生搭建交流平台，助力毕业生充分就业。             </w:t>
      </w:r>
      <w:r>
        <w:drawing>
          <wp:inline distT="0" distB="0" distL="114300" distR="114300">
            <wp:extent cx="5552440" cy="2885440"/>
            <wp:effectExtent l="0" t="0" r="10160" b="1016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3"/>
                    <a:stretch>
                      <a:fillRect/>
                    </a:stretch>
                  </pic:blipFill>
                  <pic:spPr>
                    <a:xfrm>
                      <a:off x="0" y="0"/>
                      <a:ext cx="5552440" cy="2885440"/>
                    </a:xfrm>
                    <a:prstGeom prst="rect">
                      <a:avLst/>
                    </a:prstGeom>
                  </pic:spPr>
                </pic:pic>
              </a:graphicData>
            </a:graphic>
          </wp:inline>
        </w:drawing>
      </w:r>
    </w:p>
    <w:p w14:paraId="3EA3508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snapToGrid/>
          <w:kern w:val="2"/>
          <w:sz w:val="32"/>
          <w:szCs w:val="32"/>
          <w:lang w:val="en-US" w:eastAsia="zh-CN" w:bidi="ar-SA"/>
        </w:rPr>
      </w:pPr>
      <w:r>
        <w:drawing>
          <wp:inline distT="0" distB="0" distL="114300" distR="114300">
            <wp:extent cx="5179060" cy="2576830"/>
            <wp:effectExtent l="0" t="0" r="2540" b="127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4"/>
                    <a:srcRect r="7737"/>
                    <a:stretch>
                      <a:fillRect/>
                    </a:stretch>
                  </pic:blipFill>
                  <pic:spPr>
                    <a:xfrm>
                      <a:off x="0" y="0"/>
                      <a:ext cx="5179060" cy="2576830"/>
                    </a:xfrm>
                    <a:prstGeom prst="rect">
                      <a:avLst/>
                    </a:prstGeom>
                  </pic:spPr>
                </pic:pic>
              </a:graphicData>
            </a:graphic>
          </wp:inline>
        </w:drawing>
      </w:r>
    </w:p>
    <w:p w14:paraId="57A85D7C">
      <w:pPr>
        <w:keepNext w:val="0"/>
        <w:keepLines w:val="0"/>
        <w:pageBreakBefore w:val="0"/>
        <w:widowControl/>
        <w:numPr>
          <w:ilvl w:val="0"/>
          <w:numId w:val="0"/>
        </w:numPr>
        <w:kinsoku w:val="0"/>
        <w:wordWrap/>
        <w:overflowPunct/>
        <w:topLinePunct w:val="0"/>
        <w:autoSpaceDE w:val="0"/>
        <w:autoSpaceDN w:val="0"/>
        <w:bidi w:val="0"/>
        <w:adjustRightInd/>
        <w:snapToGrid/>
        <w:spacing w:before="88" w:line="360" w:lineRule="auto"/>
        <w:ind w:right="68" w:rightChars="0"/>
        <w:jc w:val="both"/>
        <w:textAlignment w:val="baseline"/>
        <w:rPr>
          <w:rFonts w:hint="eastAsia" w:ascii="仿宋" w:hAnsi="仿宋" w:eastAsia="仿宋" w:cs="仿宋"/>
          <w:spacing w:val="6"/>
          <w:sz w:val="28"/>
          <w:szCs w:val="28"/>
          <w:lang w:val="en-US" w:eastAsia="zh-CN"/>
        </w:rPr>
      </w:pPr>
    </w:p>
    <w:p w14:paraId="4314C32E">
      <w:pPr>
        <w:keepNext w:val="0"/>
        <w:keepLines w:val="0"/>
        <w:pageBreakBefore w:val="0"/>
        <w:numPr>
          <w:ilvl w:val="0"/>
          <w:numId w:val="5"/>
        </w:numPr>
        <w:kinsoku/>
        <w:wordWrap/>
        <w:overflowPunct/>
        <w:topLinePunct w:val="0"/>
        <w:bidi w:val="0"/>
        <w:adjustRightInd/>
        <w:snapToGrid/>
        <w:spacing w:line="560" w:lineRule="exact"/>
        <w:ind w:right="0" w:rightChars="0" w:firstLine="640" w:firstLineChars="200"/>
        <w:textAlignment w:val="auto"/>
        <w:outlineLvl w:val="1"/>
        <w:rPr>
          <w:rFonts w:hint="eastAsia" w:ascii="黑体" w:hAnsi="黑体" w:eastAsia="黑体" w:cs="黑体"/>
          <w:b w:val="0"/>
          <w:bCs w:val="0"/>
          <w:color w:val="auto"/>
          <w:sz w:val="32"/>
          <w:szCs w:val="32"/>
          <w:lang w:val="en-US" w:eastAsia="zh-CN" w:bidi="zh-CN"/>
        </w:rPr>
      </w:pPr>
      <w:bookmarkStart w:id="39" w:name="_Toc8983"/>
      <w:r>
        <w:rPr>
          <w:rFonts w:hint="eastAsia" w:ascii="黑体" w:hAnsi="黑体" w:eastAsia="黑体" w:cs="黑体"/>
          <w:b w:val="0"/>
          <w:bCs w:val="0"/>
          <w:color w:val="auto"/>
          <w:sz w:val="32"/>
          <w:szCs w:val="32"/>
          <w:lang w:val="en-US" w:eastAsia="zh-CN" w:bidi="zh-CN"/>
        </w:rPr>
        <w:t>深入访企拓岗、深研校企合作</w:t>
      </w:r>
      <w:bookmarkEnd w:id="39"/>
    </w:p>
    <w:p w14:paraId="03EB52E7">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b w:val="0"/>
          <w:bCs/>
          <w:snapToGrid/>
          <w:kern w:val="2"/>
          <w:sz w:val="32"/>
          <w:szCs w:val="32"/>
          <w:lang w:val="en-US" w:eastAsia="zh-CN" w:bidi="ar-SA"/>
        </w:rPr>
      </w:pPr>
      <w:r>
        <w:rPr>
          <w:rFonts w:hint="eastAsia" w:ascii="仿宋" w:hAnsi="仿宋" w:eastAsia="仿宋" w:cs="仿宋"/>
          <w:b w:val="0"/>
          <w:bCs/>
          <w:snapToGrid/>
          <w:kern w:val="2"/>
          <w:sz w:val="32"/>
          <w:szCs w:val="32"/>
          <w:lang w:val="en-US" w:eastAsia="zh-CN" w:bidi="ar-SA"/>
        </w:rPr>
        <w:t>学校秉持访企拓岗、校企合作理念，依生源定制年度市场拓展方案。2024 年访企 100 余家，签约 24 家，拓宽毕业生就业岗。按教育厅要求拓展 “京津冀” 地区市场，校长率领就业办、实训中心、健康医学院等人员，多次深入天津多家医院实地考察，推动就业工作落地，为学生增实习就业机会。</w:t>
      </w:r>
    </w:p>
    <w:p w14:paraId="2ABA339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88" w:line="240" w:lineRule="auto"/>
        <w:ind w:right="68" w:rightChars="0"/>
        <w:textAlignment w:val="baseline"/>
        <w:outlineLvl w:val="9"/>
        <w:rPr>
          <w:rFonts w:hint="eastAsia" w:ascii="仿宋" w:hAnsi="仿宋" w:eastAsia="仿宋" w:cs="仿宋"/>
          <w:b w:val="0"/>
          <w:bCs/>
          <w:snapToGrid/>
          <w:kern w:val="2"/>
          <w:sz w:val="32"/>
          <w:szCs w:val="32"/>
          <w:lang w:val="en-US" w:eastAsia="zh-CN" w:bidi="ar-SA"/>
        </w:rPr>
      </w:pPr>
      <w:r>
        <w:drawing>
          <wp:anchor distT="0" distB="0" distL="114300" distR="114300" simplePos="0" relativeHeight="251663360" behindDoc="0" locked="0" layoutInCell="1" allowOverlap="1">
            <wp:simplePos x="0" y="0"/>
            <wp:positionH relativeFrom="column">
              <wp:posOffset>28575</wp:posOffset>
            </wp:positionH>
            <wp:positionV relativeFrom="paragraph">
              <wp:posOffset>3300095</wp:posOffset>
            </wp:positionV>
            <wp:extent cx="5437505" cy="3100070"/>
            <wp:effectExtent l="0" t="0" r="0" b="0"/>
            <wp:wrapTopAndBottom/>
            <wp:docPr id="17" name="图片 2" descr="02b0eef45064143fc282fc46251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02b0eef45064143fc282fc462515075"/>
                    <pic:cNvPicPr>
                      <a:picLocks noChangeAspect="1"/>
                    </pic:cNvPicPr>
                  </pic:nvPicPr>
                  <pic:blipFill>
                    <a:blip r:embed="rId25"/>
                    <a:srcRect t="19715" r="10019" b="16984"/>
                    <a:stretch>
                      <a:fillRect/>
                    </a:stretch>
                  </pic:blipFill>
                  <pic:spPr>
                    <a:xfrm>
                      <a:off x="0" y="0"/>
                      <a:ext cx="5437505" cy="3100070"/>
                    </a:xfrm>
                    <a:prstGeom prst="rect">
                      <a:avLst/>
                    </a:prstGeom>
                  </pic:spPr>
                </pic:pic>
              </a:graphicData>
            </a:graphic>
          </wp:anchor>
        </w:drawing>
      </w:r>
      <w:r>
        <w:drawing>
          <wp:anchor distT="0" distB="0" distL="114300" distR="114300" simplePos="0" relativeHeight="251662336" behindDoc="0" locked="0" layoutInCell="1" allowOverlap="1">
            <wp:simplePos x="0" y="0"/>
            <wp:positionH relativeFrom="column">
              <wp:posOffset>0</wp:posOffset>
            </wp:positionH>
            <wp:positionV relativeFrom="paragraph">
              <wp:posOffset>162560</wp:posOffset>
            </wp:positionV>
            <wp:extent cx="5494655" cy="2794635"/>
            <wp:effectExtent l="0" t="0" r="6985" b="9525"/>
            <wp:wrapTopAndBottom/>
            <wp:docPr id="14" name="图片 7" descr="3d2c50b897ebfe7b1c689e44fed6a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3d2c50b897ebfe7b1c689e44fed6adb"/>
                    <pic:cNvPicPr>
                      <a:picLocks noChangeAspect="1"/>
                    </pic:cNvPicPr>
                  </pic:nvPicPr>
                  <pic:blipFill>
                    <a:blip r:embed="rId26"/>
                    <a:srcRect t="9350" b="21319"/>
                    <a:stretch>
                      <a:fillRect/>
                    </a:stretch>
                  </pic:blipFill>
                  <pic:spPr>
                    <a:xfrm>
                      <a:off x="0" y="0"/>
                      <a:ext cx="5494655" cy="2794635"/>
                    </a:xfrm>
                    <a:prstGeom prst="rect">
                      <a:avLst/>
                    </a:prstGeom>
                  </pic:spPr>
                </pic:pic>
              </a:graphicData>
            </a:graphic>
          </wp:anchor>
        </w:drawing>
      </w:r>
    </w:p>
    <w:p w14:paraId="74F4BE0F">
      <w:pPr>
        <w:keepNext w:val="0"/>
        <w:keepLines w:val="0"/>
        <w:pageBreakBefore w:val="0"/>
        <w:widowControl w:val="0"/>
        <w:kinsoku/>
        <w:wordWrap/>
        <w:overflowPunct/>
        <w:topLinePunct w:val="0"/>
        <w:autoSpaceDE/>
        <w:autoSpaceDN/>
        <w:bidi w:val="0"/>
        <w:adjustRightInd/>
        <w:snapToGrid/>
        <w:spacing w:line="360" w:lineRule="auto"/>
        <w:ind w:firstLine="660" w:firstLineChars="300"/>
        <w:jc w:val="left"/>
        <w:textAlignment w:val="auto"/>
        <w:rPr>
          <w:rFonts w:hint="eastAsia" w:ascii="黑体" w:hAnsi="黑体" w:eastAsia="黑体" w:cs="黑体"/>
          <w:color w:val="auto"/>
          <w:sz w:val="44"/>
          <w:szCs w:val="44"/>
          <w:lang w:val="zh-CN" w:eastAsia="zh-CN" w:bidi="zh-CN"/>
        </w:rPr>
      </w:pPr>
      <w:r>
        <w:drawing>
          <wp:anchor distT="0" distB="0" distL="114300" distR="114300" simplePos="0" relativeHeight="251661312" behindDoc="0" locked="0" layoutInCell="1" allowOverlap="1">
            <wp:simplePos x="0" y="0"/>
            <wp:positionH relativeFrom="column">
              <wp:posOffset>3343910</wp:posOffset>
            </wp:positionH>
            <wp:positionV relativeFrom="paragraph">
              <wp:posOffset>1724025</wp:posOffset>
            </wp:positionV>
            <wp:extent cx="2437765" cy="2225040"/>
            <wp:effectExtent l="0" t="0" r="635" b="0"/>
            <wp:wrapTopAndBottom/>
            <wp:docPr id="11" name="图片 9" descr="e4b744456c2804e0e64b0c8e42ae8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e4b744456c2804e0e64b0c8e42ae85f"/>
                    <pic:cNvPicPr>
                      <a:picLocks noChangeAspect="1"/>
                    </pic:cNvPicPr>
                  </pic:nvPicPr>
                  <pic:blipFill>
                    <a:blip r:embed="rId27"/>
                    <a:srcRect l="28546" t="10046" b="1991"/>
                    <a:stretch>
                      <a:fillRect/>
                    </a:stretch>
                  </pic:blipFill>
                  <pic:spPr>
                    <a:xfrm>
                      <a:off x="0" y="0"/>
                      <a:ext cx="2437765" cy="2225040"/>
                    </a:xfrm>
                    <a:prstGeom prst="rect">
                      <a:avLst/>
                    </a:prstGeom>
                  </pic:spPr>
                </pic:pic>
              </a:graphicData>
            </a:graphic>
          </wp:anchor>
        </w:drawing>
      </w:r>
      <w:r>
        <w:drawing>
          <wp:anchor distT="0" distB="0" distL="114300" distR="114300" simplePos="0" relativeHeight="251660288" behindDoc="0" locked="0" layoutInCell="1" allowOverlap="1">
            <wp:simplePos x="0" y="0"/>
            <wp:positionH relativeFrom="column">
              <wp:posOffset>-101600</wp:posOffset>
            </wp:positionH>
            <wp:positionV relativeFrom="paragraph">
              <wp:posOffset>1723390</wp:posOffset>
            </wp:positionV>
            <wp:extent cx="2965450" cy="2224405"/>
            <wp:effectExtent l="0" t="0" r="6350" b="635"/>
            <wp:wrapSquare wrapText="bothSides"/>
            <wp:docPr id="10" name="图片 4" descr="5400eea4c0eb568daae4f6d95fb6d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5400eea4c0eb568daae4f6d95fb6d3f"/>
                    <pic:cNvPicPr>
                      <a:picLocks noChangeAspect="1"/>
                    </pic:cNvPicPr>
                  </pic:nvPicPr>
                  <pic:blipFill>
                    <a:blip r:embed="rId28"/>
                    <a:stretch>
                      <a:fillRect/>
                    </a:stretch>
                  </pic:blipFill>
                  <pic:spPr>
                    <a:xfrm>
                      <a:off x="0" y="0"/>
                      <a:ext cx="2965450" cy="2224405"/>
                    </a:xfrm>
                    <a:prstGeom prst="rect">
                      <a:avLst/>
                    </a:prstGeom>
                  </pic:spPr>
                </pic:pic>
              </a:graphicData>
            </a:graphic>
          </wp:anchor>
        </w:drawing>
      </w:r>
      <w:r>
        <w:rPr>
          <w:rFonts w:hint="eastAsia" w:ascii="仿宋" w:hAnsi="仿宋" w:eastAsia="仿宋" w:cs="仿宋"/>
          <w:b w:val="0"/>
          <w:bCs/>
          <w:snapToGrid/>
          <w:kern w:val="2"/>
          <w:sz w:val="32"/>
          <w:szCs w:val="32"/>
          <w:lang w:val="en-US" w:eastAsia="zh-CN" w:bidi="ar-SA"/>
        </w:rPr>
        <w:t>同时我校分两次分别组织无人机应用技术专业学生在河北翼龙航空科技有限公司基地进行了40天的实训学习，根据研讨的实训课程，安排学生学习无人机理论知识，进行手动实操演练，增强学生实践能力。</w:t>
      </w:r>
      <w:bookmarkStart w:id="40" w:name="_Toc17819"/>
    </w:p>
    <w:p w14:paraId="32484D5B">
      <w:pPr>
        <w:pStyle w:val="2"/>
        <w:keepNext w:val="0"/>
        <w:keepLines w:val="0"/>
        <w:pageBreakBefore w:val="0"/>
        <w:wordWrap/>
        <w:overflowPunct/>
        <w:topLinePunct w:val="0"/>
        <w:bidi w:val="0"/>
        <w:spacing w:line="560" w:lineRule="exact"/>
        <w:ind w:left="0" w:leftChars="0" w:right="0" w:rightChars="0"/>
        <w:outlineLvl w:val="0"/>
        <w:rPr>
          <w:rFonts w:hint="eastAsia" w:ascii="黑体" w:hAnsi="黑体" w:eastAsia="黑体" w:cs="黑体"/>
          <w:color w:val="auto"/>
          <w:sz w:val="44"/>
          <w:szCs w:val="44"/>
          <w:lang w:val="zh-CN" w:eastAsia="zh-CN" w:bidi="zh-CN"/>
        </w:rPr>
      </w:pPr>
    </w:p>
    <w:p w14:paraId="22C0B0B3">
      <w:pPr>
        <w:rPr>
          <w:rFonts w:hint="eastAsia" w:ascii="黑体" w:hAnsi="黑体" w:eastAsia="黑体" w:cs="黑体"/>
          <w:color w:val="auto"/>
          <w:sz w:val="44"/>
          <w:szCs w:val="44"/>
          <w:lang w:val="zh-CN" w:eastAsia="zh-CN" w:bidi="zh-CN"/>
        </w:rPr>
      </w:pPr>
    </w:p>
    <w:p w14:paraId="4B74F751">
      <w:pPr>
        <w:pStyle w:val="2"/>
        <w:keepNext w:val="0"/>
        <w:keepLines w:val="0"/>
        <w:pageBreakBefore w:val="0"/>
        <w:wordWrap/>
        <w:overflowPunct/>
        <w:topLinePunct w:val="0"/>
        <w:bidi w:val="0"/>
        <w:spacing w:line="560" w:lineRule="exact"/>
        <w:ind w:left="0" w:leftChars="0" w:right="0" w:rightChars="0"/>
        <w:outlineLvl w:val="0"/>
        <w:rPr>
          <w:rFonts w:hint="eastAsia"/>
        </w:rPr>
      </w:pPr>
      <w:r>
        <w:rPr>
          <w:rFonts w:hint="eastAsia" w:ascii="黑体" w:hAnsi="黑体" w:eastAsia="黑体" w:cs="黑体"/>
          <w:color w:val="auto"/>
          <w:sz w:val="44"/>
          <w:szCs w:val="44"/>
          <w:lang w:val="zh-CN" w:eastAsia="zh-CN" w:bidi="zh-CN"/>
        </w:rPr>
        <w:t>第</w:t>
      </w:r>
      <w:r>
        <w:rPr>
          <w:rFonts w:hint="eastAsia" w:ascii="黑体" w:hAnsi="黑体" w:eastAsia="黑体" w:cs="黑体"/>
          <w:color w:val="auto"/>
          <w:sz w:val="44"/>
          <w:szCs w:val="44"/>
          <w:lang w:val="en-US" w:eastAsia="zh-CN" w:bidi="zh-CN"/>
        </w:rPr>
        <w:t>五</w:t>
      </w:r>
      <w:r>
        <w:rPr>
          <w:rFonts w:hint="eastAsia" w:ascii="黑体" w:hAnsi="黑体" w:eastAsia="黑体" w:cs="黑体"/>
          <w:color w:val="auto"/>
          <w:sz w:val="44"/>
          <w:szCs w:val="44"/>
          <w:lang w:val="zh-CN" w:eastAsia="zh-CN" w:bidi="zh-CN"/>
        </w:rPr>
        <w:t>章</w:t>
      </w:r>
      <w:r>
        <w:rPr>
          <w:rFonts w:hint="eastAsia" w:ascii="黑体" w:hAnsi="黑体" w:eastAsia="黑体" w:cs="黑体"/>
          <w:color w:val="auto"/>
          <w:sz w:val="44"/>
          <w:szCs w:val="44"/>
          <w:lang w:val="en-US" w:eastAsia="zh-CN" w:bidi="zh-CN"/>
        </w:rPr>
        <w:t xml:space="preserve"> </w:t>
      </w:r>
      <w:r>
        <w:rPr>
          <w:rFonts w:hint="eastAsia" w:ascii="黑体" w:hAnsi="黑体" w:eastAsia="黑体" w:cs="黑体"/>
          <w:color w:val="auto"/>
          <w:sz w:val="44"/>
          <w:szCs w:val="44"/>
          <w:lang w:val="zh-CN" w:eastAsia="zh-CN" w:bidi="zh-CN"/>
        </w:rPr>
        <w:t>就业形势分析与展望</w:t>
      </w:r>
      <w:bookmarkEnd w:id="40"/>
    </w:p>
    <w:p w14:paraId="53E9D77A">
      <w:pPr>
        <w:keepNext w:val="0"/>
        <w:keepLines w:val="0"/>
        <w:pageBreakBefore w:val="0"/>
        <w:numPr>
          <w:ilvl w:val="0"/>
          <w:numId w:val="0"/>
        </w:numPr>
        <w:kinsoku/>
        <w:wordWrap/>
        <w:overflowPunct/>
        <w:topLinePunct w:val="0"/>
        <w:bidi w:val="0"/>
        <w:adjustRightInd/>
        <w:snapToGrid/>
        <w:spacing w:line="570" w:lineRule="exact"/>
        <w:ind w:right="0" w:rightChars="0" w:firstLine="640" w:firstLineChars="200"/>
        <w:textAlignment w:val="auto"/>
        <w:outlineLvl w:val="1"/>
        <w:rPr>
          <w:rFonts w:hint="eastAsia" w:ascii="黑体" w:hAnsi="黑体" w:eastAsia="黑体" w:cs="黑体"/>
          <w:b w:val="0"/>
          <w:bCs w:val="0"/>
          <w:color w:val="auto"/>
          <w:sz w:val="32"/>
          <w:szCs w:val="32"/>
          <w:lang w:val="en-US" w:eastAsia="zh-CN" w:bidi="zh-CN"/>
        </w:rPr>
      </w:pPr>
      <w:bookmarkStart w:id="41" w:name="_Toc5320"/>
    </w:p>
    <w:p w14:paraId="5A8B0199">
      <w:pPr>
        <w:keepNext w:val="0"/>
        <w:keepLines w:val="0"/>
        <w:pageBreakBefore w:val="0"/>
        <w:numPr>
          <w:ilvl w:val="0"/>
          <w:numId w:val="0"/>
        </w:numPr>
        <w:kinsoku/>
        <w:wordWrap/>
        <w:overflowPunct/>
        <w:topLinePunct w:val="0"/>
        <w:bidi w:val="0"/>
        <w:adjustRightInd/>
        <w:snapToGrid/>
        <w:spacing w:line="570" w:lineRule="exact"/>
        <w:ind w:right="0" w:rightChars="0" w:firstLine="640" w:firstLineChars="200"/>
        <w:textAlignment w:val="auto"/>
        <w:outlineLvl w:val="1"/>
        <w:rPr>
          <w:rFonts w:hint="eastAsia" w:asciiTheme="minorEastAsia" w:hAnsiTheme="minorEastAsia" w:eastAsiaTheme="minorEastAsia" w:cstheme="minorEastAsia"/>
          <w:b/>
          <w:bCs/>
          <w:spacing w:val="6"/>
          <w:kern w:val="0"/>
          <w:sz w:val="32"/>
          <w:szCs w:val="32"/>
          <w:lang w:val="en-US" w:eastAsia="zh-CN" w:bidi="zh-CN"/>
        </w:rPr>
      </w:pPr>
      <w:r>
        <w:rPr>
          <w:rFonts w:hint="eastAsia" w:ascii="黑体" w:hAnsi="黑体" w:eastAsia="黑体" w:cs="黑体"/>
          <w:b w:val="0"/>
          <w:bCs w:val="0"/>
          <w:color w:val="auto"/>
          <w:sz w:val="32"/>
          <w:szCs w:val="32"/>
          <w:lang w:val="en-US" w:eastAsia="zh-CN" w:bidi="zh-CN"/>
        </w:rPr>
        <w:t>一、2024年就业市场整体形势</w:t>
      </w:r>
      <w:bookmarkEnd w:id="41"/>
    </w:p>
    <w:p w14:paraId="04492751">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default" w:ascii="仿宋" w:hAnsi="仿宋" w:eastAsia="仿宋" w:cs="仿宋"/>
          <w:b w:val="0"/>
          <w:bCs/>
          <w:snapToGrid/>
          <w:kern w:val="2"/>
          <w:sz w:val="32"/>
          <w:szCs w:val="32"/>
          <w:lang w:val="en-US" w:eastAsia="zh-CN" w:bidi="ar-SA"/>
        </w:rPr>
      </w:pPr>
      <w:r>
        <w:rPr>
          <w:rFonts w:hint="default" w:ascii="仿宋" w:hAnsi="仿宋" w:eastAsia="仿宋" w:cs="仿宋"/>
          <w:b w:val="0"/>
          <w:bCs/>
          <w:snapToGrid/>
          <w:kern w:val="2"/>
          <w:sz w:val="32"/>
          <w:szCs w:val="32"/>
          <w:lang w:val="en-US" w:eastAsia="zh-CN" w:bidi="ar-SA"/>
        </w:rPr>
        <w:t xml:space="preserve">从宏观层面来看，全国普通高校毕业生规模预计达 1179 万人，较上一年增加了 21 万人，毕业生数量的持续攀升使得就业市场的竞争愈发激烈。新兴行业则展现出不同的发展态势，像人工智能、大数据、新能源、生物技术等新兴产业对人才需求旺盛。 </w:t>
      </w:r>
    </w:p>
    <w:p w14:paraId="04D087B0">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default" w:ascii="仿宋" w:hAnsi="仿宋" w:eastAsia="仿宋" w:cs="仿宋"/>
          <w:b w:val="0"/>
          <w:bCs/>
          <w:snapToGrid/>
          <w:kern w:val="2"/>
          <w:sz w:val="32"/>
          <w:szCs w:val="32"/>
          <w:lang w:val="en-US" w:eastAsia="zh-CN" w:bidi="ar-SA"/>
        </w:rPr>
      </w:pPr>
      <w:r>
        <w:rPr>
          <w:rFonts w:hint="default" w:ascii="仿宋" w:hAnsi="仿宋" w:eastAsia="仿宋" w:cs="仿宋"/>
          <w:b w:val="0"/>
          <w:bCs/>
          <w:snapToGrid/>
          <w:kern w:val="2"/>
          <w:sz w:val="32"/>
          <w:szCs w:val="32"/>
          <w:lang w:val="en-US" w:eastAsia="zh-CN" w:bidi="ar-SA"/>
        </w:rPr>
        <w:t xml:space="preserve">在行业发展趋势方面，互联网和电子信息类行业在近年来人工智能与传统行业相结合的带动下发展迅猛，始终在各行业中对毕业生的需求居于首位，政府出台了一系列扶持政策，尤其在新兴行业和灵活就业方面提供诸多支持，一定程度上缓解了就业市场压力。 </w:t>
      </w:r>
    </w:p>
    <w:p w14:paraId="018F7A3F">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default" w:ascii="仿宋" w:hAnsi="仿宋" w:eastAsia="仿宋" w:cs="仿宋"/>
          <w:b w:val="0"/>
          <w:bCs/>
          <w:snapToGrid/>
          <w:kern w:val="2"/>
          <w:sz w:val="32"/>
          <w:szCs w:val="32"/>
          <w:lang w:val="en-US" w:eastAsia="zh-CN" w:bidi="ar-SA"/>
        </w:rPr>
      </w:pPr>
      <w:r>
        <w:rPr>
          <w:rFonts w:hint="default" w:ascii="仿宋" w:hAnsi="仿宋" w:eastAsia="仿宋" w:cs="仿宋"/>
          <w:b w:val="0"/>
          <w:bCs/>
          <w:snapToGrid/>
          <w:kern w:val="2"/>
          <w:sz w:val="32"/>
          <w:szCs w:val="32"/>
          <w:lang w:val="en-US" w:eastAsia="zh-CN" w:bidi="ar-SA"/>
        </w:rPr>
        <w:t>从岗位供需比来看，部分行业和岗位存在明显的不均衡情况。一些新兴产业、新质生产力相关行业专业技术岗存在 “招工难” 现象；而像客服类、销售类、行政类等通用型职位应聘比例较高，竞争比均超过 25:1，出现人才供过于求的情况。</w:t>
      </w:r>
    </w:p>
    <w:p w14:paraId="0AA05245">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仿宋" w:hAnsi="仿宋" w:eastAsia="仿宋" w:cs="仿宋"/>
          <w:b w:val="0"/>
          <w:bCs/>
          <w:snapToGrid/>
          <w:kern w:val="2"/>
          <w:sz w:val="32"/>
          <w:szCs w:val="32"/>
          <w:lang w:val="en-US" w:eastAsia="zh-CN" w:bidi="ar-SA"/>
        </w:rPr>
      </w:pPr>
      <w:r>
        <w:rPr>
          <w:rFonts w:hint="default" w:ascii="仿宋" w:hAnsi="仿宋" w:eastAsia="仿宋" w:cs="仿宋"/>
          <w:b w:val="0"/>
          <w:bCs/>
          <w:snapToGrid/>
          <w:kern w:val="2"/>
          <w:sz w:val="32"/>
          <w:szCs w:val="32"/>
          <w:lang w:val="en-US" w:eastAsia="zh-CN" w:bidi="ar-SA"/>
        </w:rPr>
        <w:t>综合而言，</w:t>
      </w:r>
      <w:r>
        <w:rPr>
          <w:rFonts w:hint="eastAsia" w:ascii="仿宋" w:hAnsi="仿宋" w:eastAsia="仿宋" w:cs="仿宋"/>
          <w:b w:val="0"/>
          <w:bCs/>
          <w:snapToGrid/>
          <w:kern w:val="2"/>
          <w:sz w:val="32"/>
          <w:szCs w:val="32"/>
          <w:lang w:val="en-US" w:eastAsia="zh-CN" w:bidi="ar-SA"/>
        </w:rPr>
        <w:t>2024</w:t>
      </w:r>
      <w:r>
        <w:rPr>
          <w:rFonts w:hint="default" w:ascii="仿宋" w:hAnsi="仿宋" w:eastAsia="仿宋" w:cs="仿宋"/>
          <w:b w:val="0"/>
          <w:bCs/>
          <w:snapToGrid/>
          <w:kern w:val="2"/>
          <w:sz w:val="32"/>
          <w:szCs w:val="32"/>
          <w:lang w:val="en-US" w:eastAsia="zh-CN" w:bidi="ar-SA"/>
        </w:rPr>
        <w:t>年的就业市场对于毕业生来说既是充满机会的舞台，需要他们凭借扎实专业知识和技能去把握新兴行业带来的机遇；同时也是竞争激烈的赛场，要做好应对各种挑战的准备，积极调整心态、提升能力以适应不断变化的就业环境。</w:t>
      </w:r>
    </w:p>
    <w:p w14:paraId="266D0CD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before="120" w:beforeAutospacing="0" w:after="0" w:afterAutospacing="0" w:line="570" w:lineRule="exact"/>
        <w:ind w:left="0" w:right="0" w:firstLine="0"/>
        <w:jc w:val="left"/>
        <w:textAlignment w:val="auto"/>
        <w:rPr>
          <w:rFonts w:ascii="Segoe UI" w:hAnsi="Segoe UI" w:eastAsia="Segoe UI" w:cs="Segoe UI"/>
          <w:i w:val="0"/>
          <w:iCs w:val="0"/>
          <w:caps w:val="0"/>
          <w:color w:val="000000"/>
          <w:spacing w:val="0"/>
          <w:sz w:val="16"/>
          <w:szCs w:val="16"/>
        </w:rPr>
      </w:pPr>
    </w:p>
    <w:p w14:paraId="0D350A39">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仿宋" w:hAnsi="仿宋" w:eastAsia="仿宋" w:cs="仿宋"/>
          <w:b w:val="0"/>
          <w:bCs/>
          <w:snapToGrid/>
          <w:kern w:val="2"/>
          <w:sz w:val="32"/>
          <w:szCs w:val="32"/>
          <w:lang w:val="en-US" w:eastAsia="zh-CN" w:bidi="ar-SA"/>
        </w:rPr>
      </w:pPr>
    </w:p>
    <w:p w14:paraId="033D5C36">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仿宋" w:hAnsi="仿宋" w:eastAsia="仿宋" w:cs="仿宋"/>
          <w:b w:val="0"/>
          <w:bCs/>
          <w:snapToGrid/>
          <w:kern w:val="2"/>
          <w:sz w:val="32"/>
          <w:szCs w:val="32"/>
          <w:lang w:val="en-US" w:eastAsia="zh-CN" w:bidi="ar-SA"/>
        </w:rPr>
      </w:pPr>
    </w:p>
    <w:p w14:paraId="472BA2C2">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仿宋" w:hAnsi="仿宋" w:eastAsia="仿宋" w:cs="仿宋"/>
          <w:b w:val="0"/>
          <w:bCs/>
          <w:snapToGrid/>
          <w:kern w:val="2"/>
          <w:sz w:val="32"/>
          <w:szCs w:val="32"/>
          <w:lang w:val="en-US" w:eastAsia="zh-CN" w:bidi="ar-SA"/>
        </w:rPr>
      </w:pPr>
      <w:r>
        <w:rPr>
          <w:rFonts w:hint="eastAsia" w:ascii="仿宋" w:hAnsi="仿宋" w:eastAsia="仿宋" w:cs="仿宋"/>
          <w:b w:val="0"/>
          <w:bCs/>
          <w:snapToGrid/>
          <w:kern w:val="2"/>
          <w:sz w:val="32"/>
          <w:szCs w:val="32"/>
          <w:lang w:val="en-US" w:eastAsia="zh-CN" w:bidi="ar-SA"/>
        </w:rPr>
        <w:t xml:space="preserve">                       石家庄城市经济职业学院</w:t>
      </w:r>
    </w:p>
    <w:p w14:paraId="0B238CAB">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仿宋" w:hAnsi="仿宋" w:eastAsia="仿宋" w:cs="仿宋"/>
          <w:b w:val="0"/>
          <w:bCs/>
          <w:snapToGrid/>
          <w:kern w:val="2"/>
          <w:sz w:val="32"/>
          <w:szCs w:val="32"/>
          <w:lang w:val="en-US" w:eastAsia="zh-CN" w:bidi="ar-SA"/>
        </w:rPr>
      </w:pPr>
      <w:r>
        <w:rPr>
          <w:rFonts w:hint="eastAsia" w:ascii="仿宋" w:hAnsi="仿宋" w:eastAsia="仿宋" w:cs="仿宋"/>
          <w:b w:val="0"/>
          <w:bCs/>
          <w:snapToGrid/>
          <w:kern w:val="2"/>
          <w:sz w:val="32"/>
          <w:szCs w:val="32"/>
          <w:lang w:val="en-US" w:eastAsia="zh-CN" w:bidi="ar-SA"/>
        </w:rPr>
        <w:t xml:space="preserve">                             就业指导中心</w:t>
      </w:r>
    </w:p>
    <w:p w14:paraId="29CDD5E2">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default" w:ascii="仿宋" w:hAnsi="仿宋" w:eastAsia="仿宋" w:cs="仿宋"/>
          <w:b w:val="0"/>
          <w:bCs/>
          <w:snapToGrid/>
          <w:kern w:val="2"/>
          <w:sz w:val="32"/>
          <w:szCs w:val="32"/>
          <w:lang w:val="en-US" w:eastAsia="zh-CN" w:bidi="ar-SA"/>
        </w:rPr>
      </w:pPr>
      <w:r>
        <w:rPr>
          <w:rFonts w:hint="eastAsia" w:ascii="仿宋" w:hAnsi="仿宋" w:eastAsia="仿宋" w:cs="仿宋"/>
          <w:b w:val="0"/>
          <w:bCs/>
          <w:snapToGrid/>
          <w:kern w:val="2"/>
          <w:sz w:val="32"/>
          <w:szCs w:val="32"/>
          <w:lang w:val="en-US" w:eastAsia="zh-CN" w:bidi="ar-SA"/>
        </w:rPr>
        <w:t xml:space="preserve">                           2024年12月23日</w:t>
      </w:r>
    </w:p>
    <w:p w14:paraId="69A5DC52">
      <w:pPr>
        <w:keepNext w:val="0"/>
        <w:keepLines w:val="0"/>
        <w:pageBreakBefore w:val="0"/>
        <w:widowControl w:val="0"/>
        <w:kinsoku/>
        <w:wordWrap/>
        <w:overflowPunct/>
        <w:topLinePunct w:val="0"/>
        <w:autoSpaceDE/>
        <w:autoSpaceDN/>
        <w:bidi w:val="0"/>
        <w:adjustRightInd/>
        <w:snapToGrid/>
        <w:spacing w:before="0" w:beforeLines="50" w:after="0" w:afterLines="50" w:line="570" w:lineRule="exact"/>
        <w:ind w:left="0" w:leftChars="0" w:right="0" w:rightChars="0" w:firstLine="602" w:firstLineChars="200"/>
        <w:jc w:val="left"/>
        <w:textAlignment w:val="auto"/>
        <w:outlineLvl w:val="2"/>
        <w:rPr>
          <w:rFonts w:hint="eastAsia" w:ascii="宋体" w:hAnsi="宋体" w:eastAsia="宋体" w:cs="宋体"/>
          <w:b/>
          <w:bCs/>
          <w:sz w:val="30"/>
          <w:szCs w:val="30"/>
          <w:lang w:val="en-US" w:eastAsia="zh-CN"/>
        </w:rPr>
      </w:pPr>
    </w:p>
    <w:p w14:paraId="75D5B611">
      <w:pPr>
        <w:widowControl w:val="0"/>
        <w:numPr>
          <w:ilvl w:val="0"/>
          <w:numId w:val="0"/>
        </w:numPr>
        <w:autoSpaceDE w:val="0"/>
        <w:autoSpaceDN w:val="0"/>
        <w:spacing w:before="0" w:after="0" w:line="240" w:lineRule="auto"/>
        <w:ind w:right="0" w:rightChars="0"/>
        <w:jc w:val="left"/>
        <w:rPr>
          <w:rFonts w:hint="eastAsia"/>
        </w:rPr>
      </w:pPr>
    </w:p>
    <w:p w14:paraId="27A81243">
      <w:pPr>
        <w:pStyle w:val="11"/>
        <w:bidi w:val="0"/>
      </w:pPr>
      <w:r>
        <w:rPr>
          <w:rFonts w:hint="eastAsia" w:ascii="Times New Roman" w:eastAsia="宋体"/>
          <w:color w:val="auto"/>
          <w:sz w:val="17"/>
          <w:lang w:val="en-US" w:eastAsia="zh-CN"/>
        </w:rPr>
        <w:t xml:space="preserve"> </w:t>
      </w:r>
      <w:r>
        <w:rPr>
          <w:rFonts w:hint="eastAsia" w:ascii="Times New Roman" w:eastAsia="宋体"/>
          <w:color w:val="auto"/>
          <w:sz w:val="17"/>
          <w:lang w:eastAsia="zh-CN"/>
        </w:rPr>
        <w:drawing>
          <wp:inline distT="0" distB="0" distL="114300" distR="114300">
            <wp:extent cx="5422900" cy="8514080"/>
            <wp:effectExtent l="0" t="0" r="2540" b="5080"/>
            <wp:docPr id="32" name="图片 32" descr="2021012012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0210120123447"/>
                    <pic:cNvPicPr>
                      <a:picLocks noChangeAspect="1"/>
                    </pic:cNvPicPr>
                  </pic:nvPicPr>
                  <pic:blipFill>
                    <a:blip r:embed="rId29"/>
                    <a:stretch>
                      <a:fillRect/>
                    </a:stretch>
                  </pic:blipFill>
                  <pic:spPr>
                    <a:xfrm>
                      <a:off x="0" y="0"/>
                      <a:ext cx="5422900" cy="8514080"/>
                    </a:xfrm>
                    <a:prstGeom prst="rect">
                      <a:avLst/>
                    </a:prstGeom>
                  </pic:spPr>
                </pic:pic>
              </a:graphicData>
            </a:graphic>
          </wp:inline>
        </w:drawing>
      </w:r>
    </w:p>
    <w:sectPr>
      <w:headerReference r:id="rId10" w:type="default"/>
      <w:footerReference r:id="rId12" w:type="default"/>
      <w:headerReference r:id="rId11" w:type="even"/>
      <w:footerReference r:id="rId13" w:type="even"/>
      <w:pgSz w:w="11910" w:h="16840"/>
      <w:pgMar w:top="2098" w:right="1474" w:bottom="1984" w:left="1587" w:header="0" w:footer="850" w:gutter="0"/>
      <w:pgNumType w:fmt="decimal"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A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5351AAB-57D1-4C0C-A856-037FBDC0BBD9}"/>
  </w:font>
  <w:font w:name="黑体">
    <w:panose1 w:val="02010609060101010101"/>
    <w:charset w:val="86"/>
    <w:family w:val="auto"/>
    <w:pitch w:val="default"/>
    <w:sig w:usb0="800002BF" w:usb1="38CF7CFA" w:usb2="00000016" w:usb3="00000000" w:csb0="00040001" w:csb1="00000000"/>
    <w:embedRegular r:id="rId2" w:fontKey="{FF67ED77-9818-4CAF-8563-3CBC2ED3EBB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MingLiU-ExtB">
    <w:panose1 w:val="02020500000000000000"/>
    <w:charset w:val="88"/>
    <w:family w:val="auto"/>
    <w:pitch w:val="default"/>
    <w:sig w:usb0="8000002F" w:usb1="02000008" w:usb2="00000000" w:usb3="00000000" w:csb0="0010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3" w:fontKey="{E8656484-031D-467C-83B0-6B996DD12D63}"/>
  </w:font>
  <w:font w:name="楷体_GB2312">
    <w:panose1 w:val="02010609030101010101"/>
    <w:charset w:val="86"/>
    <w:family w:val="modern"/>
    <w:pitch w:val="default"/>
    <w:sig w:usb0="00000001" w:usb1="080E0000" w:usb2="00000000" w:usb3="00000000" w:csb0="00040000" w:csb1="00000000"/>
    <w:embedRegular r:id="rId4" w:fontKey="{90AEDEFD-2F97-4CB5-BDAF-E5117D4A5402}"/>
  </w:font>
  <w:font w:name="仿宋">
    <w:panose1 w:val="02010609060101010101"/>
    <w:charset w:val="86"/>
    <w:family w:val="auto"/>
    <w:pitch w:val="default"/>
    <w:sig w:usb0="800002BF" w:usb1="38CF7CFA" w:usb2="00000016" w:usb3="00000000" w:csb0="00040001" w:csb1="00000000"/>
    <w:embedRegular r:id="rId5" w:fontKey="{C2532002-220F-4F86-ACFA-BF09794DDDCF}"/>
  </w:font>
  <w:font w:name="Segoe UI">
    <w:panose1 w:val="020B0502040204020203"/>
    <w:charset w:val="00"/>
    <w:family w:val="auto"/>
    <w:pitch w:val="default"/>
    <w:sig w:usb0="E4002EFF" w:usb1="C000E47F" w:usb2="00000009" w:usb3="00000000" w:csb0="200001FF" w:csb1="00000000"/>
    <w:embedRegular r:id="rId6" w:fontKey="{33F5DD9B-1257-48B8-8E6F-2142DE29DFFA}"/>
  </w:font>
  <w:font w:name="方正黑体_GBK">
    <w:panose1 w:val="02010600010101010101"/>
    <w:charset w:val="86"/>
    <w:family w:val="auto"/>
    <w:pitch w:val="default"/>
    <w:sig w:usb0="00000001" w:usb1="080E0000" w:usb2="00000000" w:usb3="00000000" w:csb0="00040000" w:csb1="00000000"/>
    <w:embedRegular r:id="rId7" w:fontKey="{902010BD-F845-4F19-A25D-01DEA755CF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14ABC">
    <w:pPr>
      <w:pStyle w:val="7"/>
      <w:jc w:val="center"/>
    </w:pPr>
  </w:p>
  <w:p w14:paraId="2AA6D8FD">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4D954">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E62EE">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88B71">
    <w:pPr>
      <w:pStyle w:val="7"/>
    </w:pPr>
  </w:p>
  <w:p w14:paraId="2767032E">
    <w:pPr>
      <w:pStyle w:val="7"/>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-291465</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BAB483">
                          <w:pPr>
                            <w:pStyle w:val="7"/>
                            <w:rPr>
                              <w:rFonts w:hint="eastAsia" w:ascii="方正黑体_GBK" w:hAnsi="方正黑体_GBK" w:eastAsia="方正黑体_GBK" w:cs="方正黑体_GBK"/>
                            </w:rPr>
                          </w:pPr>
                          <w:r>
                            <w:rPr>
                              <w:rFonts w:hint="eastAsia" w:ascii="方正黑体_GBK" w:hAnsi="方正黑体_GBK" w:eastAsia="方正黑体_GBK" w:cs="方正黑体_GBK"/>
                            </w:rPr>
                            <w:t xml:space="preserve">— </w:t>
                          </w:r>
                          <w:r>
                            <w:rPr>
                              <w:rFonts w:hint="eastAsia" w:ascii="方正黑体_GBK" w:hAnsi="方正黑体_GBK" w:eastAsia="方正黑体_GBK" w:cs="方正黑体_GBK"/>
                            </w:rPr>
                            <w:fldChar w:fldCharType="begin"/>
                          </w:r>
                          <w:r>
                            <w:rPr>
                              <w:rFonts w:hint="eastAsia" w:ascii="方正黑体_GBK" w:hAnsi="方正黑体_GBK" w:eastAsia="方正黑体_GBK" w:cs="方正黑体_GBK"/>
                            </w:rPr>
                            <w:instrText xml:space="preserve"> PAGE  \* MERGEFORMAT </w:instrText>
                          </w:r>
                          <w:r>
                            <w:rPr>
                              <w:rFonts w:hint="eastAsia" w:ascii="方正黑体_GBK" w:hAnsi="方正黑体_GBK" w:eastAsia="方正黑体_GBK" w:cs="方正黑体_GBK"/>
                            </w:rPr>
                            <w:fldChar w:fldCharType="separate"/>
                          </w:r>
                          <w:r>
                            <w:rPr>
                              <w:rFonts w:hint="eastAsia" w:ascii="方正黑体_GBK" w:hAnsi="方正黑体_GBK" w:eastAsia="方正黑体_GBK" w:cs="方正黑体_GBK"/>
                            </w:rPr>
                            <w:t>1</w:t>
                          </w:r>
                          <w:r>
                            <w:rPr>
                              <w:rFonts w:hint="eastAsia" w:ascii="方正黑体_GBK" w:hAnsi="方正黑体_GBK" w:eastAsia="方正黑体_GBK" w:cs="方正黑体_GBK"/>
                            </w:rPr>
                            <w:fldChar w:fldCharType="end"/>
                          </w:r>
                          <w:r>
                            <w:rPr>
                              <w:rFonts w:hint="eastAsia" w:ascii="方正黑体_GBK" w:hAnsi="方正黑体_GBK" w:eastAsia="方正黑体_GBK" w:cs="方正黑体_GBK"/>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2.95pt;height:144pt;width:144pt;mso-position-horizontal:center;mso-position-horizontal-relative:margin;mso-wrap-style:none;z-index:251664384;mso-width-relative:page;mso-height-relative:page;" filled="f" stroked="f" coordsize="21600,21600" o:gfxdata="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i1nhPVAAAACAEAAA8AAAAAAAAAAQAgAAAAIgAAAGRycy9kb3ducmV2LnhtbFBL&#10;AQIUABQAAAAIAIdO4kB/jq0RMgIAAGEEAAAOAAAAAAAAAAEAIAAAACQBAABkcnMvZTJvRG9jLnht&#10;bFBLBQYAAAAABgAGAFkBAADIBQAAAAA=&#10;">
              <v:fill on="f" focussize="0,0"/>
              <v:stroke on="f" weight="0.5pt"/>
              <v:imagedata o:title=""/>
              <o:lock v:ext="edit" aspectratio="f"/>
              <v:textbox inset="0mm,0mm,0mm,0mm" style="mso-fit-shape-to-text:t;">
                <w:txbxContent>
                  <w:p w14:paraId="15BAB483">
                    <w:pPr>
                      <w:pStyle w:val="7"/>
                      <w:rPr>
                        <w:rFonts w:hint="eastAsia" w:ascii="方正黑体_GBK" w:hAnsi="方正黑体_GBK" w:eastAsia="方正黑体_GBK" w:cs="方正黑体_GBK"/>
                      </w:rPr>
                    </w:pPr>
                    <w:r>
                      <w:rPr>
                        <w:rFonts w:hint="eastAsia" w:ascii="方正黑体_GBK" w:hAnsi="方正黑体_GBK" w:eastAsia="方正黑体_GBK" w:cs="方正黑体_GBK"/>
                      </w:rPr>
                      <w:t xml:space="preserve">— </w:t>
                    </w:r>
                    <w:r>
                      <w:rPr>
                        <w:rFonts w:hint="eastAsia" w:ascii="方正黑体_GBK" w:hAnsi="方正黑体_GBK" w:eastAsia="方正黑体_GBK" w:cs="方正黑体_GBK"/>
                      </w:rPr>
                      <w:fldChar w:fldCharType="begin"/>
                    </w:r>
                    <w:r>
                      <w:rPr>
                        <w:rFonts w:hint="eastAsia" w:ascii="方正黑体_GBK" w:hAnsi="方正黑体_GBK" w:eastAsia="方正黑体_GBK" w:cs="方正黑体_GBK"/>
                      </w:rPr>
                      <w:instrText xml:space="preserve"> PAGE  \* MERGEFORMAT </w:instrText>
                    </w:r>
                    <w:r>
                      <w:rPr>
                        <w:rFonts w:hint="eastAsia" w:ascii="方正黑体_GBK" w:hAnsi="方正黑体_GBK" w:eastAsia="方正黑体_GBK" w:cs="方正黑体_GBK"/>
                      </w:rPr>
                      <w:fldChar w:fldCharType="separate"/>
                    </w:r>
                    <w:r>
                      <w:rPr>
                        <w:rFonts w:hint="eastAsia" w:ascii="方正黑体_GBK" w:hAnsi="方正黑体_GBK" w:eastAsia="方正黑体_GBK" w:cs="方正黑体_GBK"/>
                      </w:rPr>
                      <w:t>1</w:t>
                    </w:r>
                    <w:r>
                      <w:rPr>
                        <w:rFonts w:hint="eastAsia" w:ascii="方正黑体_GBK" w:hAnsi="方正黑体_GBK" w:eastAsia="方正黑体_GBK" w:cs="方正黑体_GBK"/>
                      </w:rPr>
                      <w:fldChar w:fldCharType="end"/>
                    </w:r>
                    <w:r>
                      <w:rPr>
                        <w:rFonts w:hint="eastAsia" w:ascii="方正黑体_GBK" w:hAnsi="方正黑体_GBK" w:eastAsia="方正黑体_GBK" w:cs="方正黑体_GBK"/>
                      </w:rPr>
                      <w:t xml:space="preserve"> —</w:t>
                    </w: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2CD11D">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B2CD11D">
                    <w:pPr>
                      <w:pStyle w:val="7"/>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90004">
    <w:pPr>
      <w:pStyle w:val="5"/>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2BE0B">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D141A">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4C2E6">
    <w:pPr>
      <w:pStyle w:val="5"/>
      <w:spacing w:line="14" w:lineRule="auto"/>
    </w:pPr>
    <w:r>
      <mc:AlternateContent>
        <mc:Choice Requires="wps">
          <w:drawing>
            <wp:anchor distT="0" distB="0" distL="114300" distR="114300" simplePos="0" relativeHeight="251661312" behindDoc="1" locked="0" layoutInCell="1" allowOverlap="1">
              <wp:simplePos x="0" y="0"/>
              <wp:positionH relativeFrom="page">
                <wp:posOffset>1106805</wp:posOffset>
              </wp:positionH>
              <wp:positionV relativeFrom="page">
                <wp:posOffset>412115</wp:posOffset>
              </wp:positionV>
              <wp:extent cx="3767455" cy="235585"/>
              <wp:effectExtent l="0" t="0" r="0" b="0"/>
              <wp:wrapNone/>
              <wp:docPr id="31" name="文本框 4"/>
              <wp:cNvGraphicFramePr/>
              <a:graphic xmlns:a="http://schemas.openxmlformats.org/drawingml/2006/main">
                <a:graphicData uri="http://schemas.microsoft.com/office/word/2010/wordprocessingShape">
                  <wps:wsp>
                    <wps:cNvSpPr txBox="1"/>
                    <wps:spPr>
                      <a:xfrm>
                        <a:off x="0" y="0"/>
                        <a:ext cx="3767455" cy="235585"/>
                      </a:xfrm>
                      <a:prstGeom prst="rect">
                        <a:avLst/>
                      </a:prstGeom>
                      <a:noFill/>
                      <a:ln>
                        <a:noFill/>
                      </a:ln>
                    </wps:spPr>
                    <wps:txbx>
                      <w:txbxContent>
                        <w:p w14:paraId="3A45936D">
                          <w:pPr>
                            <w:spacing w:before="0" w:line="327" w:lineRule="exact"/>
                            <w:ind w:left="20" w:right="0" w:firstLine="0"/>
                            <w:jc w:val="left"/>
                            <w:rPr>
                              <w:rFonts w:hint="eastAsia" w:ascii="宋体" w:eastAsia="宋体"/>
                              <w:sz w:val="24"/>
                              <w:szCs w:val="21"/>
                            </w:rPr>
                          </w:pPr>
                          <w:r>
                            <w:rPr>
                              <w:rFonts w:hint="eastAsia" w:ascii="宋体" w:eastAsia="宋体"/>
                              <w:color w:val="2C6493"/>
                              <w:sz w:val="24"/>
                              <w:szCs w:val="21"/>
                              <w:lang w:val="en-US" w:eastAsia="zh-CN"/>
                            </w:rPr>
                            <w:t>2</w:t>
                          </w:r>
                          <w:r>
                            <w:rPr>
                              <w:rFonts w:hint="eastAsia" w:ascii="宋体" w:eastAsia="宋体"/>
                              <w:color w:val="2C6493"/>
                              <w:sz w:val="24"/>
                              <w:szCs w:val="21"/>
                            </w:rPr>
                            <w:t>02</w:t>
                          </w:r>
                          <w:r>
                            <w:rPr>
                              <w:rFonts w:hint="eastAsia" w:ascii="宋体" w:eastAsia="宋体"/>
                              <w:color w:val="2C6493"/>
                              <w:sz w:val="24"/>
                              <w:szCs w:val="21"/>
                              <w:lang w:val="en-US" w:eastAsia="zh-CN"/>
                            </w:rPr>
                            <w:t>4</w:t>
                          </w:r>
                          <w:r>
                            <w:rPr>
                              <w:rFonts w:hint="eastAsia" w:ascii="宋体" w:eastAsia="宋体"/>
                              <w:color w:val="2C6493"/>
                              <w:sz w:val="24"/>
                              <w:szCs w:val="21"/>
                            </w:rPr>
                            <w:t>年度</w:t>
                          </w:r>
                          <w:r>
                            <w:rPr>
                              <w:rFonts w:hint="eastAsia" w:ascii="宋体" w:eastAsia="宋体"/>
                              <w:color w:val="2C6493"/>
                              <w:sz w:val="24"/>
                              <w:szCs w:val="21"/>
                              <w:lang w:eastAsia="zh-CN"/>
                            </w:rPr>
                            <w:t>石家庄城市经济职业学院</w:t>
                          </w:r>
                          <w:r>
                            <w:rPr>
                              <w:rFonts w:hint="eastAsia" w:ascii="宋体" w:eastAsia="宋体"/>
                              <w:color w:val="2C6493"/>
                              <w:sz w:val="24"/>
                              <w:szCs w:val="21"/>
                            </w:rPr>
                            <w:t>毕业生就业质量报告</w:t>
                          </w:r>
                        </w:p>
                        <w:p w14:paraId="63332705">
                          <w:pPr>
                            <w:rPr>
                              <w:rFonts w:hint="eastAsia"/>
                            </w:rPr>
                          </w:pPr>
                        </w:p>
                      </w:txbxContent>
                    </wps:txbx>
                    <wps:bodyPr lIns="0" tIns="0" rIns="0" bIns="0" upright="1"/>
                  </wps:wsp>
                </a:graphicData>
              </a:graphic>
            </wp:anchor>
          </w:drawing>
        </mc:Choice>
        <mc:Fallback>
          <w:pict>
            <v:shape id="文本框 4" o:spid="_x0000_s1026" o:spt="202" type="#_x0000_t202" style="position:absolute;left:0pt;margin-left:87.15pt;margin-top:32.45pt;height:18.55pt;width:296.65pt;mso-position-horizontal-relative:page;mso-position-vertical-relative:page;z-index:-251655168;mso-width-relative:page;mso-height-relative:page;" filled="f" stroked="f" coordsize="21600,21600" o:gfxdata="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zyg8bYAAAACgEAAA8AAAAAAAAAAQAgAAAAIgAAAGRycy9kb3ducmV2LnhtbFBL&#10;AQIUABQAAAAIAIdO4kDrcWJ0vQEAAHMDAAAOAAAAAAAAAAEAIAAAACcBAABkcnMvZTJvRG9jLnht&#10;bFBLBQYAAAAABgAGAFkBAABWBQAAAAA=&#10;">
              <v:fill on="f" focussize="0,0"/>
              <v:stroke on="f"/>
              <v:imagedata o:title=""/>
              <o:lock v:ext="edit" aspectratio="f"/>
              <v:textbox inset="0mm,0mm,0mm,0mm">
                <w:txbxContent>
                  <w:p w14:paraId="3A45936D">
                    <w:pPr>
                      <w:spacing w:before="0" w:line="327" w:lineRule="exact"/>
                      <w:ind w:left="20" w:right="0" w:firstLine="0"/>
                      <w:jc w:val="left"/>
                      <w:rPr>
                        <w:rFonts w:hint="eastAsia" w:ascii="宋体" w:eastAsia="宋体"/>
                        <w:sz w:val="24"/>
                        <w:szCs w:val="21"/>
                      </w:rPr>
                    </w:pPr>
                    <w:r>
                      <w:rPr>
                        <w:rFonts w:hint="eastAsia" w:ascii="宋体" w:eastAsia="宋体"/>
                        <w:color w:val="2C6493"/>
                        <w:sz w:val="24"/>
                        <w:szCs w:val="21"/>
                        <w:lang w:val="en-US" w:eastAsia="zh-CN"/>
                      </w:rPr>
                      <w:t>2</w:t>
                    </w:r>
                    <w:r>
                      <w:rPr>
                        <w:rFonts w:hint="eastAsia" w:ascii="宋体" w:eastAsia="宋体"/>
                        <w:color w:val="2C6493"/>
                        <w:sz w:val="24"/>
                        <w:szCs w:val="21"/>
                      </w:rPr>
                      <w:t>02</w:t>
                    </w:r>
                    <w:r>
                      <w:rPr>
                        <w:rFonts w:hint="eastAsia" w:ascii="宋体" w:eastAsia="宋体"/>
                        <w:color w:val="2C6493"/>
                        <w:sz w:val="24"/>
                        <w:szCs w:val="21"/>
                        <w:lang w:val="en-US" w:eastAsia="zh-CN"/>
                      </w:rPr>
                      <w:t>4</w:t>
                    </w:r>
                    <w:r>
                      <w:rPr>
                        <w:rFonts w:hint="eastAsia" w:ascii="宋体" w:eastAsia="宋体"/>
                        <w:color w:val="2C6493"/>
                        <w:sz w:val="24"/>
                        <w:szCs w:val="21"/>
                      </w:rPr>
                      <w:t>年度</w:t>
                    </w:r>
                    <w:r>
                      <w:rPr>
                        <w:rFonts w:hint="eastAsia" w:ascii="宋体" w:eastAsia="宋体"/>
                        <w:color w:val="2C6493"/>
                        <w:sz w:val="24"/>
                        <w:szCs w:val="21"/>
                        <w:lang w:eastAsia="zh-CN"/>
                      </w:rPr>
                      <w:t>石家庄城市经济职业学院</w:t>
                    </w:r>
                    <w:r>
                      <w:rPr>
                        <w:rFonts w:hint="eastAsia" w:ascii="宋体" w:eastAsia="宋体"/>
                        <w:color w:val="2C6493"/>
                        <w:sz w:val="24"/>
                        <w:szCs w:val="21"/>
                      </w:rPr>
                      <w:t>毕业生就业质量报告</w:t>
                    </w:r>
                  </w:p>
                  <w:p w14:paraId="63332705">
                    <w:pPr>
                      <w:rPr>
                        <w:rFonts w:hint="eastAsia"/>
                      </w:rPr>
                    </w:pPr>
                  </w:p>
                </w:txbxContent>
              </v:textbox>
            </v:shape>
          </w:pict>
        </mc:Fallback>
      </mc:AlternateContent>
    </w:r>
    <w:r>
      <w:drawing>
        <wp:anchor distT="0" distB="0" distL="0" distR="0" simplePos="0" relativeHeight="251662336" behindDoc="1" locked="0" layoutInCell="1" allowOverlap="1">
          <wp:simplePos x="0" y="0"/>
          <wp:positionH relativeFrom="page">
            <wp:posOffset>480695</wp:posOffset>
          </wp:positionH>
          <wp:positionV relativeFrom="page">
            <wp:posOffset>294640</wp:posOffset>
          </wp:positionV>
          <wp:extent cx="448945" cy="450850"/>
          <wp:effectExtent l="0" t="0" r="8255" b="6350"/>
          <wp:wrapNone/>
          <wp:docPr id="2" name="image2.png"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descr="C:\Users\Administrator\Desktop\图片1.png图片1"/>
                  <pic:cNvPicPr>
                    <a:picLocks noChangeAspect="1"/>
                  </pic:cNvPicPr>
                </pic:nvPicPr>
                <pic:blipFill>
                  <a:blip r:embed="rId1"/>
                  <a:srcRect/>
                  <a:stretch>
                    <a:fillRect/>
                  </a:stretch>
                </pic:blipFill>
                <pic:spPr>
                  <a:xfrm>
                    <a:off x="0" y="0"/>
                    <a:ext cx="448945" cy="450850"/>
                  </a:xfrm>
                  <a:prstGeom prst="rect">
                    <a:avLst/>
                  </a:prstGeom>
                </pic:spPr>
              </pic:pic>
            </a:graphicData>
          </a:graphic>
        </wp:anchor>
      </w:drawing>
    </w:r>
    <w:r>
      <mc:AlternateContent>
        <mc:Choice Requires="wps">
          <w:drawing>
            <wp:anchor distT="0" distB="0" distL="114300" distR="114300" simplePos="0" relativeHeight="251660288" behindDoc="1" locked="0" layoutInCell="1" allowOverlap="1">
              <wp:simplePos x="0" y="0"/>
              <wp:positionH relativeFrom="page">
                <wp:posOffset>0</wp:posOffset>
              </wp:positionH>
              <wp:positionV relativeFrom="page">
                <wp:posOffset>776605</wp:posOffset>
              </wp:positionV>
              <wp:extent cx="7559675" cy="0"/>
              <wp:effectExtent l="0" t="0" r="0" b="0"/>
              <wp:wrapNone/>
              <wp:docPr id="30" name="直线 3"/>
              <wp:cNvGraphicFramePr/>
              <a:graphic xmlns:a="http://schemas.openxmlformats.org/drawingml/2006/main">
                <a:graphicData uri="http://schemas.microsoft.com/office/word/2010/wordprocessingShape">
                  <wps:wsp>
                    <wps:cNvCnPr/>
                    <wps:spPr>
                      <a:xfrm>
                        <a:off x="0" y="0"/>
                        <a:ext cx="7559675" cy="0"/>
                      </a:xfrm>
                      <a:prstGeom prst="line">
                        <a:avLst/>
                      </a:prstGeom>
                      <a:ln w="12700" cap="flat" cmpd="sng">
                        <a:solidFill>
                          <a:srgbClr val="2C6493"/>
                        </a:solidFill>
                        <a:prstDash val="solid"/>
                        <a:headEnd type="none" w="med" len="med"/>
                        <a:tailEnd type="none" w="med" len="med"/>
                      </a:ln>
                    </wps:spPr>
                    <wps:bodyPr upright="1"/>
                  </wps:wsp>
                </a:graphicData>
              </a:graphic>
            </wp:anchor>
          </w:drawing>
        </mc:Choice>
        <mc:Fallback>
          <w:pict>
            <v:line id="直线 3" o:spid="_x0000_s1026" o:spt="20" style="position:absolute;left:0pt;margin-left:0pt;margin-top:61.15pt;height:0pt;width:595.25pt;mso-position-horizontal-relative:page;mso-position-vertical-relative:page;z-index:-251656192;mso-width-relative:page;mso-height-relative:page;" filled="f" stroked="t" coordsize="21600,21600" o:gfxdata="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bw6ih&#10;1AAAAAkBAAAPAAAAAAAAAAEAIAAAACIAAABkcnMvZG93bnJldi54bWxQSwECFAAUAAAACACHTuJA&#10;3Nz2OOwBAADdAwAADgAAAAAAAAABACAAAAAjAQAAZHJzL2Uyb0RvYy54bWxQSwUGAAAAAAYABgBZ&#10;AQAAgQUAAAAA&#10;">
              <v:fill on="f" focussize="0,0"/>
              <v:stroke weight="1pt" color="#2C6493" joinstyle="round"/>
              <v:imagedata o:title=""/>
              <o:lock v:ext="edit" aspectratio="f"/>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6A550">
    <w:pPr>
      <w:pStyle w:val="5"/>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F34D99"/>
    <w:multiLevelType w:val="singleLevel"/>
    <w:tmpl w:val="CBF34D99"/>
    <w:lvl w:ilvl="0" w:tentative="0">
      <w:start w:val="1"/>
      <w:numFmt w:val="chineseCounting"/>
      <w:suff w:val="space"/>
      <w:lvlText w:val="第%1章"/>
      <w:lvlJc w:val="left"/>
      <w:rPr>
        <w:rFonts w:hint="eastAsia"/>
      </w:rPr>
    </w:lvl>
  </w:abstractNum>
  <w:abstractNum w:abstractNumId="1">
    <w:nsid w:val="CC5A3173"/>
    <w:multiLevelType w:val="singleLevel"/>
    <w:tmpl w:val="CC5A3173"/>
    <w:lvl w:ilvl="0" w:tentative="0">
      <w:start w:val="1"/>
      <w:numFmt w:val="chineseCounting"/>
      <w:suff w:val="nothing"/>
      <w:lvlText w:val="%1、"/>
      <w:lvlJc w:val="left"/>
      <w:rPr>
        <w:rFonts w:hint="eastAsia"/>
      </w:rPr>
    </w:lvl>
  </w:abstractNum>
  <w:abstractNum w:abstractNumId="2">
    <w:nsid w:val="CD80881A"/>
    <w:multiLevelType w:val="singleLevel"/>
    <w:tmpl w:val="CD80881A"/>
    <w:lvl w:ilvl="0" w:tentative="0">
      <w:start w:val="3"/>
      <w:numFmt w:val="chineseCounting"/>
      <w:suff w:val="space"/>
      <w:lvlText w:val="第%1章"/>
      <w:lvlJc w:val="left"/>
      <w:rPr>
        <w:rFonts w:hint="eastAsia"/>
      </w:rPr>
    </w:lvl>
  </w:abstractNum>
  <w:abstractNum w:abstractNumId="3">
    <w:nsid w:val="E2A05F7C"/>
    <w:multiLevelType w:val="singleLevel"/>
    <w:tmpl w:val="E2A05F7C"/>
    <w:lvl w:ilvl="0" w:tentative="0">
      <w:start w:val="3"/>
      <w:numFmt w:val="chineseCounting"/>
      <w:suff w:val="nothing"/>
      <w:lvlText w:val="%1、"/>
      <w:lvlJc w:val="left"/>
      <w:rPr>
        <w:rFonts w:hint="eastAsia"/>
      </w:rPr>
    </w:lvl>
  </w:abstractNum>
  <w:abstractNum w:abstractNumId="4">
    <w:nsid w:val="56100BE1"/>
    <w:multiLevelType w:val="singleLevel"/>
    <w:tmpl w:val="56100BE1"/>
    <w:lvl w:ilvl="0" w:tentative="0">
      <w:start w:val="2"/>
      <w:numFmt w:val="chineseCounting"/>
      <w:suff w:val="nothing"/>
      <w:lvlText w:val="%1、"/>
      <w:lvlJc w:val="left"/>
      <w:rPr>
        <w:rFonts w:hint="eastAsia"/>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ZWUxY2YwMjFkMDhmMjg2NTdkMzFjMGZhOTg1M2QifQ=="/>
  </w:docVars>
  <w:rsids>
    <w:rsidRoot w:val="00000000"/>
    <w:rsid w:val="018F6A3E"/>
    <w:rsid w:val="024535A0"/>
    <w:rsid w:val="030516AD"/>
    <w:rsid w:val="04FC088E"/>
    <w:rsid w:val="05E0549F"/>
    <w:rsid w:val="06DF0C69"/>
    <w:rsid w:val="0837069C"/>
    <w:rsid w:val="088908C0"/>
    <w:rsid w:val="0AD33E3F"/>
    <w:rsid w:val="0B136931"/>
    <w:rsid w:val="0CAB5E12"/>
    <w:rsid w:val="0DD166E5"/>
    <w:rsid w:val="0E3C7F4D"/>
    <w:rsid w:val="0F753717"/>
    <w:rsid w:val="1019108C"/>
    <w:rsid w:val="105E064F"/>
    <w:rsid w:val="10F25EEC"/>
    <w:rsid w:val="1191429F"/>
    <w:rsid w:val="11C40985"/>
    <w:rsid w:val="17342109"/>
    <w:rsid w:val="17731540"/>
    <w:rsid w:val="18632A3E"/>
    <w:rsid w:val="192341E3"/>
    <w:rsid w:val="1AA2382E"/>
    <w:rsid w:val="1AE070FF"/>
    <w:rsid w:val="1AE171FE"/>
    <w:rsid w:val="1B5174E1"/>
    <w:rsid w:val="1BDF0DD1"/>
    <w:rsid w:val="1C393D1E"/>
    <w:rsid w:val="1CFB1188"/>
    <w:rsid w:val="1D660B43"/>
    <w:rsid w:val="206D1A9A"/>
    <w:rsid w:val="20CF1E62"/>
    <w:rsid w:val="212B157A"/>
    <w:rsid w:val="22B30DCB"/>
    <w:rsid w:val="233177BD"/>
    <w:rsid w:val="23D53A17"/>
    <w:rsid w:val="24491A23"/>
    <w:rsid w:val="26BE5231"/>
    <w:rsid w:val="275E1624"/>
    <w:rsid w:val="2872269E"/>
    <w:rsid w:val="29F306D4"/>
    <w:rsid w:val="2A3779D5"/>
    <w:rsid w:val="2AA040BA"/>
    <w:rsid w:val="2AC5432F"/>
    <w:rsid w:val="2BCE4483"/>
    <w:rsid w:val="2DBA54B6"/>
    <w:rsid w:val="2E3C1B78"/>
    <w:rsid w:val="2E406F95"/>
    <w:rsid w:val="32803FFD"/>
    <w:rsid w:val="33AC6217"/>
    <w:rsid w:val="34313801"/>
    <w:rsid w:val="35934AF4"/>
    <w:rsid w:val="360809B0"/>
    <w:rsid w:val="36D35858"/>
    <w:rsid w:val="389E342F"/>
    <w:rsid w:val="398D587E"/>
    <w:rsid w:val="39D52E80"/>
    <w:rsid w:val="3AA765CB"/>
    <w:rsid w:val="3C102157"/>
    <w:rsid w:val="3C5E53AF"/>
    <w:rsid w:val="3C76729D"/>
    <w:rsid w:val="3CD627B3"/>
    <w:rsid w:val="3D65276D"/>
    <w:rsid w:val="3E191AF1"/>
    <w:rsid w:val="3F7B1DD4"/>
    <w:rsid w:val="400C5122"/>
    <w:rsid w:val="4077259B"/>
    <w:rsid w:val="419640DE"/>
    <w:rsid w:val="42080182"/>
    <w:rsid w:val="43D113AE"/>
    <w:rsid w:val="4416031D"/>
    <w:rsid w:val="4767770B"/>
    <w:rsid w:val="48BD16AF"/>
    <w:rsid w:val="48EE1869"/>
    <w:rsid w:val="4A4200BE"/>
    <w:rsid w:val="4A5B1180"/>
    <w:rsid w:val="4B814C16"/>
    <w:rsid w:val="4B841F4E"/>
    <w:rsid w:val="4BE07B8E"/>
    <w:rsid w:val="4C1E06B7"/>
    <w:rsid w:val="4D3F6B37"/>
    <w:rsid w:val="4DAB1AD6"/>
    <w:rsid w:val="4EBD5F65"/>
    <w:rsid w:val="505526B4"/>
    <w:rsid w:val="51711289"/>
    <w:rsid w:val="52B7716F"/>
    <w:rsid w:val="542B571F"/>
    <w:rsid w:val="56E805FA"/>
    <w:rsid w:val="57124DD7"/>
    <w:rsid w:val="58B54151"/>
    <w:rsid w:val="59215342"/>
    <w:rsid w:val="59464B3B"/>
    <w:rsid w:val="59E428C5"/>
    <w:rsid w:val="5A674199"/>
    <w:rsid w:val="5AB87F28"/>
    <w:rsid w:val="5B71727B"/>
    <w:rsid w:val="5DA86032"/>
    <w:rsid w:val="5F6928E0"/>
    <w:rsid w:val="60845AC5"/>
    <w:rsid w:val="61045C75"/>
    <w:rsid w:val="61930DA7"/>
    <w:rsid w:val="62F13FD7"/>
    <w:rsid w:val="63155F18"/>
    <w:rsid w:val="642D54E3"/>
    <w:rsid w:val="644B5969"/>
    <w:rsid w:val="64A03F2F"/>
    <w:rsid w:val="65580425"/>
    <w:rsid w:val="65E34551"/>
    <w:rsid w:val="65FA31A3"/>
    <w:rsid w:val="66840BAF"/>
    <w:rsid w:val="6AA429B6"/>
    <w:rsid w:val="6AB75F25"/>
    <w:rsid w:val="6BE601D7"/>
    <w:rsid w:val="6BEE00B5"/>
    <w:rsid w:val="6ED50C51"/>
    <w:rsid w:val="6F7F4586"/>
    <w:rsid w:val="6FA07384"/>
    <w:rsid w:val="6FD62A2E"/>
    <w:rsid w:val="727B1B10"/>
    <w:rsid w:val="72D336FA"/>
    <w:rsid w:val="73690C97"/>
    <w:rsid w:val="73ED07EB"/>
    <w:rsid w:val="750162FC"/>
    <w:rsid w:val="75D97E74"/>
    <w:rsid w:val="76142028"/>
    <w:rsid w:val="7A083C89"/>
    <w:rsid w:val="7B9B07EC"/>
    <w:rsid w:val="7D6A4C5A"/>
    <w:rsid w:val="7DCE0360"/>
    <w:rsid w:val="7E365BF9"/>
    <w:rsid w:val="7E8B3FF4"/>
    <w:rsid w:val="7EC94F05"/>
    <w:rsid w:val="7F484B2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PMingLiU-ExtB" w:hAnsi="PMingLiU-ExtB" w:eastAsia="PMingLiU-ExtB" w:cs="PMingLiU-ExtB"/>
      <w:sz w:val="22"/>
      <w:szCs w:val="22"/>
      <w:lang w:val="zh-CN" w:eastAsia="zh-CN" w:bidi="zh-CN"/>
    </w:rPr>
  </w:style>
  <w:style w:type="paragraph" w:styleId="2">
    <w:name w:val="heading 1"/>
    <w:basedOn w:val="1"/>
    <w:next w:val="1"/>
    <w:qFormat/>
    <w:uiPriority w:val="1"/>
    <w:pPr>
      <w:spacing w:before="160"/>
      <w:jc w:val="center"/>
      <w:outlineLvl w:val="1"/>
    </w:pPr>
    <w:rPr>
      <w:rFonts w:ascii="PMingLiU-ExtB" w:hAnsi="PMingLiU-ExtB" w:eastAsia="PMingLiU-ExtB" w:cs="PMingLiU-ExtB"/>
      <w:sz w:val="33"/>
      <w:szCs w:val="33"/>
      <w:lang w:val="zh-CN" w:eastAsia="zh-CN" w:bidi="zh-CN"/>
    </w:rPr>
  </w:style>
  <w:style w:type="paragraph" w:styleId="3">
    <w:name w:val="heading 2"/>
    <w:basedOn w:val="1"/>
    <w:next w:val="1"/>
    <w:qFormat/>
    <w:uiPriority w:val="1"/>
    <w:pPr>
      <w:spacing w:before="50"/>
      <w:ind w:left="931"/>
      <w:outlineLvl w:val="2"/>
    </w:pPr>
    <w:rPr>
      <w:rFonts w:ascii="PMingLiU-ExtB" w:hAnsi="PMingLiU-ExtB" w:eastAsia="PMingLiU-ExtB" w:cs="PMingLiU-ExtB"/>
      <w:sz w:val="24"/>
      <w:szCs w:val="24"/>
      <w:lang w:val="zh-CN" w:eastAsia="zh-CN" w:bidi="zh-CN"/>
    </w:rPr>
  </w:style>
  <w:style w:type="paragraph" w:styleId="4">
    <w:name w:val="heading 3"/>
    <w:next w:val="1"/>
    <w:qFormat/>
    <w:uiPriority w:val="0"/>
    <w:pPr>
      <w:spacing w:before="300" w:after="120" w:line="288" w:lineRule="auto"/>
      <w:ind w:left="0"/>
      <w:jc w:val="left"/>
      <w:outlineLvl w:val="2"/>
    </w:pPr>
    <w:rPr>
      <w:rFonts w:ascii="Arial" w:hAnsi="Arial" w:eastAsia="等线" w:cs="Arial"/>
      <w:b/>
      <w:bCs/>
      <w:sz w:val="30"/>
      <w:szCs w:val="30"/>
    </w:rPr>
  </w:style>
  <w:style w:type="character" w:default="1" w:styleId="14">
    <w:name w:val="Default Paragraph Font"/>
    <w:semiHidden/>
    <w:unhideWhenUsed/>
    <w:qFormat/>
    <w:uiPriority w:val="1"/>
  </w:style>
  <w:style w:type="table" w:default="1" w:styleId="12">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1"/>
    <w:rPr>
      <w:rFonts w:ascii="PMingLiU-ExtB" w:hAnsi="PMingLiU-ExtB" w:eastAsia="PMingLiU-ExtB" w:cs="PMingLiU-ExtB"/>
      <w:sz w:val="20"/>
      <w:szCs w:val="20"/>
      <w:lang w:val="zh-CN" w:eastAsia="zh-CN" w:bidi="zh-CN"/>
    </w:r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1"/>
    <w:pPr>
      <w:spacing w:before="98"/>
      <w:ind w:right="456"/>
      <w:jc w:val="right"/>
    </w:pPr>
    <w:rPr>
      <w:rFonts w:ascii="PMingLiU-ExtB" w:hAnsi="PMingLiU-ExtB" w:eastAsia="PMingLiU-ExtB" w:cs="PMingLiU-ExtB"/>
      <w:sz w:val="26"/>
      <w:szCs w:val="26"/>
      <w:lang w:val="zh-CN" w:eastAsia="zh-CN" w:bidi="zh-CN"/>
    </w:rPr>
  </w:style>
  <w:style w:type="paragraph" w:styleId="10">
    <w:name w:val="toc 2"/>
    <w:basedOn w:val="1"/>
    <w:next w:val="1"/>
    <w:qFormat/>
    <w:uiPriority w:val="1"/>
    <w:pPr>
      <w:spacing w:before="151"/>
      <w:ind w:right="454"/>
      <w:jc w:val="right"/>
    </w:pPr>
    <w:rPr>
      <w:rFonts w:ascii="PMingLiU-ExtB" w:hAnsi="PMingLiU-ExtB" w:eastAsia="PMingLiU-ExtB" w:cs="PMingLiU-ExtB"/>
      <w:sz w:val="22"/>
      <w:szCs w:val="22"/>
      <w:lang w:val="zh-CN" w:eastAsia="zh-CN" w:bidi="zh-CN"/>
    </w:r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
    <w:name w:val="toa heading1"/>
    <w:basedOn w:val="1"/>
    <w:next w:val="1"/>
    <w:qFormat/>
    <w:uiPriority w:val="99"/>
    <w:pPr>
      <w:widowControl/>
    </w:pPr>
    <w:rPr>
      <w:rFonts w:ascii="Arial" w:hAnsi="Arial"/>
      <w:kern w:val="0"/>
      <w:sz w:val="24"/>
      <w:szCs w:val="21"/>
    </w:rPr>
  </w:style>
  <w:style w:type="table" w:customStyle="1" w:styleId="16">
    <w:name w:val="Table Normal"/>
    <w:semiHidden/>
    <w:unhideWhenUsed/>
    <w:qFormat/>
    <w:uiPriority w:val="2"/>
    <w:tblPr>
      <w:tblCellMar>
        <w:top w:w="0" w:type="dxa"/>
        <w:left w:w="0" w:type="dxa"/>
        <w:bottom w:w="0" w:type="dxa"/>
        <w:right w:w="0" w:type="dxa"/>
      </w:tblCellMar>
    </w:tblPr>
  </w:style>
  <w:style w:type="paragraph" w:styleId="17">
    <w:name w:val="List Paragraph"/>
    <w:basedOn w:val="1"/>
    <w:qFormat/>
    <w:uiPriority w:val="1"/>
    <w:pPr>
      <w:spacing w:before="156"/>
      <w:ind w:left="1118" w:hanging="263"/>
    </w:pPr>
    <w:rPr>
      <w:rFonts w:ascii="PMingLiU-ExtB" w:hAnsi="PMingLiU-ExtB" w:eastAsia="PMingLiU-ExtB" w:cs="PMingLiU-ExtB"/>
      <w:lang w:val="zh-CN" w:eastAsia="zh-CN" w:bidi="zh-CN"/>
    </w:rPr>
  </w:style>
  <w:style w:type="paragraph" w:customStyle="1" w:styleId="18">
    <w:name w:val="Table Paragraph"/>
    <w:basedOn w:val="1"/>
    <w:qFormat/>
    <w:uiPriority w:val="1"/>
    <w:pPr>
      <w:spacing w:before="20"/>
    </w:pPr>
    <w:rPr>
      <w:rFonts w:ascii="微软雅黑" w:hAnsi="微软雅黑" w:eastAsia="微软雅黑" w:cs="微软雅黑"/>
      <w:lang w:val="zh-CN" w:eastAsia="zh-CN" w:bidi="zh-CN"/>
    </w:rPr>
  </w:style>
  <w:style w:type="paragraph" w:customStyle="1" w:styleId="19">
    <w:name w:val="WPSOffice手动目录 2"/>
    <w:qFormat/>
    <w:uiPriority w:val="0"/>
    <w:pPr>
      <w:ind w:leftChars="200"/>
    </w:pPr>
    <w:rPr>
      <w:rFonts w:ascii="Times New Roman" w:hAnsi="Times New Roman" w:eastAsia="宋体" w:cs="Times New Roman"/>
      <w:sz w:val="20"/>
      <w:szCs w:val="20"/>
    </w:rPr>
  </w:style>
  <w:style w:type="paragraph" w:customStyle="1" w:styleId="20">
    <w:name w:val="WPSOffice手动目录 3"/>
    <w:qFormat/>
    <w:uiPriority w:val="0"/>
    <w:pPr>
      <w:ind w:leftChars="400"/>
    </w:pPr>
    <w:rPr>
      <w:rFonts w:ascii="Times New Roman" w:hAnsi="Times New Roman" w:eastAsia="宋体" w:cs="Times New Roman"/>
      <w:sz w:val="20"/>
      <w:szCs w:val="20"/>
    </w:rPr>
  </w:style>
  <w:style w:type="paragraph" w:customStyle="1" w:styleId="21">
    <w:name w:val="_Style 13"/>
    <w:qFormat/>
    <w:uiPriority w:val="0"/>
    <w:pPr>
      <w:spacing w:before="120" w:after="120" w:line="288" w:lineRule="auto"/>
      <w:ind w:left="0"/>
      <w:jc w:val="left"/>
    </w:pPr>
    <w:rPr>
      <w:rFonts w:ascii="Arial" w:hAnsi="Arial" w:eastAsia="等线" w:cs="Arial"/>
      <w:sz w:val="22"/>
      <w:szCs w:val="22"/>
    </w:rPr>
  </w:style>
  <w:style w:type="character" w:customStyle="1" w:styleId="22">
    <w:name w:val="font31"/>
    <w:basedOn w:val="14"/>
    <w:qFormat/>
    <w:uiPriority w:val="0"/>
    <w:rPr>
      <w:rFonts w:ascii="宋体" w:hAnsi="宋体" w:eastAsia="宋体" w:cs="宋体"/>
      <w:color w:val="000000"/>
      <w:sz w:val="26"/>
      <w:szCs w:val="26"/>
      <w:u w:val="none"/>
    </w:rPr>
  </w:style>
  <w:style w:type="character" w:customStyle="1" w:styleId="23">
    <w:name w:val="font41"/>
    <w:basedOn w:val="14"/>
    <w:qFormat/>
    <w:uiPriority w:val="0"/>
    <w:rPr>
      <w:rFonts w:ascii="宋体" w:hAnsi="宋体" w:eastAsia="宋体" w:cs="宋体"/>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png"/><Relationship Id="rId17" Type="http://www.wps.cn/officeDocument/2018/webExtension" Target="webExtensions/webExtension1.xml"/><Relationship Id="rId16" Type="http://schemas.openxmlformats.org/officeDocument/2006/relationships/chart" Target="charts/chart1.xml"/><Relationship Id="rId15" Type="http://schemas.openxmlformats.org/officeDocument/2006/relationships/image" Target="media/image2.jpe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Lenovo\Documents\WeChat%20Files\wxid_b7r6g489x12922\FileStorage\File\2024-12\&#23601;&#19994;&#22320;&#21306;&#31867;&#22411;&#20998;&#2406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lineChart>
        <c:grouping val="standard"/>
        <c:varyColors val="0"/>
        <c:ser>
          <c:idx val="0"/>
          <c:order val="0"/>
          <c:tx>
            <c:strRef>
              <c:f>'[就业地区类型分布.XLSX]2024年12月01日毕业去向统计'!$F$13</c:f>
              <c:strCache>
                <c:ptCount val="1"/>
                <c:pt idx="0">
                  <c:v>就业率</c:v>
                </c:pt>
              </c:strCache>
            </c:strRef>
          </c:tx>
          <c:spPr>
            <a:ln w="28575" cap="rnd">
              <a:solidFill>
                <a:schemeClr val="accent1"/>
              </a:solidFill>
              <a:round/>
            </a:ln>
            <a:effectLst/>
          </c:spPr>
          <c:marker>
            <c:symbol val="none"/>
          </c:marker>
          <c:dLbls>
            <c:delete val="1"/>
          </c:dLbls>
          <c:cat>
            <c:strRef>
              <c:f>'[就业地区类型分布.XLSX]2024年12月01日毕业去向统计'!$E$14:$E$18</c:f>
              <c:strCache>
                <c:ptCount val="5"/>
                <c:pt idx="0">
                  <c:v>2020年</c:v>
                </c:pt>
                <c:pt idx="1">
                  <c:v>2021年</c:v>
                </c:pt>
                <c:pt idx="2">
                  <c:v>2022年</c:v>
                </c:pt>
                <c:pt idx="3">
                  <c:v>2023年</c:v>
                </c:pt>
                <c:pt idx="4">
                  <c:v>2024年</c:v>
                </c:pt>
              </c:strCache>
            </c:strRef>
          </c:cat>
          <c:val>
            <c:numRef>
              <c:f>'[就业地区类型分布.XLSX]2024年12月01日毕业去向统计'!$F$14:$F$18</c:f>
              <c:numCache>
                <c:formatCode>0.00%</c:formatCode>
                <c:ptCount val="5"/>
                <c:pt idx="0">
                  <c:v>0.7049</c:v>
                </c:pt>
                <c:pt idx="1">
                  <c:v>0.9142</c:v>
                </c:pt>
                <c:pt idx="2">
                  <c:v>0.6209</c:v>
                </c:pt>
                <c:pt idx="3">
                  <c:v>0.8199</c:v>
                </c:pt>
                <c:pt idx="4">
                  <c:v>0.8461</c:v>
                </c:pt>
              </c:numCache>
            </c:numRef>
          </c:val>
          <c:smooth val="0"/>
        </c:ser>
        <c:dLbls>
          <c:showLegendKey val="0"/>
          <c:showVal val="0"/>
          <c:showCatName val="0"/>
          <c:showSerName val="0"/>
          <c:showPercent val="0"/>
          <c:showBubbleSize val="0"/>
        </c:dLbls>
        <c:marker val="0"/>
        <c:smooth val="0"/>
        <c:axId val="666844787"/>
        <c:axId val="549825079"/>
      </c:lineChart>
      <c:catAx>
        <c:axId val="66684478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9825079"/>
        <c:crosses val="autoZero"/>
        <c:auto val="1"/>
        <c:lblAlgn val="ctr"/>
        <c:lblOffset val="100"/>
        <c:noMultiLvlLbl val="0"/>
      </c:catAx>
      <c:valAx>
        <c:axId val="549825079"/>
        <c:scaling>
          <c:orientation val="minMax"/>
        </c:scaling>
        <c:delete val="0"/>
        <c:axPos val="l"/>
        <c:majorGridlines>
          <c:spPr>
            <a:ln w="9525" cap="flat" cmpd="sng" algn="ctr">
              <a:solidFill>
                <a:schemeClr val="lt1">
                  <a:lumMod val="902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6844787"/>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7040ef43-a5c0-41a5-9196-e39867dc894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webExtensions/_rels/webExtension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package" Target="../embeddings/Workbook1.xlsx"/></Relationships>
</file>

<file path=word/webExtensions/webExtension1.xml><?xml version="1.0" encoding="utf-8"?>
<wpswe:webExtension xmlns:wpswe="http://www.wps.cn/officeDocument/2018/webExtension">
  <wpswe:extSource id="dschart" version="1.0"/>
  <wpswe:properties>
    <wpswe:property key="DiscardFirstCodeChange" value="0"/>
    <wpswe:property key="autoSnapshot" value="0"/>
    <wpswe:property key="dschart" value="{&quot;dschart_data&quot;:{&quot;blockId&quot;:&quot;157683709601409137&quot;,&quot;chart_type&quot;:&quot;极坐标图&quot;,&quot;dataSrc&quot;:{&quot;data&quot;:[[[&quot;就业统计7个率&quot;,&quot;占比 &quot;],[&quot;协议和合同就业&quot;,&quot;9.54%&quot;],[&quot;自主创业&quot;,&quot;1.6%&quot;],[&quot;灵活就业&quot;,&quot;36.99%&quot;],[&quot;升学&quot;,&quot;1.95%&quot;],[&quot;待就业&quot;,&quot;13.83%&quot;],[&quot;自由职业&quot;,&quot;29.05%&quot;]]],&quot;dataType&quot;:&quot;object-table&quot;,&quot;download&quot;:false,&quot;srcType&quot;:&quot;local&quot;,&quot;url&quot;:&quot;&quot;},&quot;function_type&quot;:[&quot;条形图&quot;],&quot;gif&quot;:&quot;//web.docer.wpscdn.cn/docer/ds-page/images/5945734748594536331.gif?imageView2/2/w/500/quality/90&quot;,&quot;isDocNotWatermark&quot;:true,&quot;isFree&quot;:&quot;0&quot;,&quot;label&quot;:&quot;&lt;d-radialbar-chart&gt;&quot;,&quot;projectId&quot;:&quot;5945734748594536331&quot;,&quot;props&quot;:{&quot;animation&quot;:{&quot;duration&quot;:&quot;2&quot;,&quot;easeStyle&quot;:&quot;&quot;,&quot;endPause&quot;:&quot;1&quot;,&quot;moveOptions&quot;:[&quot;同步顺时针&quot;],&quot;moveStyle&quot;:&quot;同步顺时针&quot;,&quot;startDelay&quot;:&quot;0&quot;,&quot;transition&quot;:true},&quot;axis&quot;:&quot;&quot;,&quot;backgroundColor&quot;:&quot;&quot;,&quot;colors&quot;:{&quot;colorControlers&quot;:[&quot;single&quot;,&quot;multiple&quot;,&quot;linear&quot;],&quot;list&quot;:[0,1,&quot;#a8dffaff&quot;,&quot;#d4ec59ff&quot;,4,5],&quot;type&quot;:&quot;multiple&quot;},&quot;display&quot;:{&quot;areaBorderColor&quot;:&quot;#cccccc&quot;,&quot;areaBorderWidth&quot;:&quot;1&quot;,&quot;bar4CornerRadius&quot;:&quot;0&quot;,&quot;barWidthPercent&quot;:&quot;1&quot;,&quot;endAngle&quot;:&quot;270&quot;,&quot;fillOpacity&quot;:&quot;1&quot;,&quot;rotateDirection&quot;:&quot;clockwise&quot;,&quot;startAngle&quot;:&quot;0&quot;},&quot;label&quot;:{&quot;numberLabel&quot;:{&quot;color&quot;:&quot;#545454&quot;,&quot;fontFamily&quot;:&quot;黑体&quot;,&quot;fontSize&quot;:&quot;14&quot;,&quot;positionChoice&quot;:&quot;内部居右&quot;,&quot;positionOptions&quot;:[&quot;外部&quot;,&quot;内部居左&quot;,&quot;内部居右&quot;],&quot;show&quot;:true,&quot;suffix&quot;:&quot;&quot;},&quot;textLabel&quot;:{&quot;color&quot;:&quot;#545454&quot;,&quot;fontFamily&quot;:&quot;黑体&quot;,&quot;fontSize&quot;:&quot;14&quot;,&quot;show&quot;:true}},&quot;legend&quot;:{&quot;color&quot;:[&quot;#545454&quot;],&quot;fontFamily&quot;:[&quot;黑体&quot;],&quot;fontSize&quot;:&quot;14&quot;,&quot;lineHeight&quot;:&quot;15&quot;,&quot;show&quot;:true,&quot;style&quot;:&quot;&quot;,&quot;styleOptions&quot;:[],&quot;xPosition&quot;:&quot;center&quot;,&quot;yPosition&quot;:&quot;bottom&quot;},&quot;logoDisplay&quot;:{&quot;bottomLineHeight&quot;:&quot;15&quot;,&quot;imgHeight&quot;:&quot;32&quot;,&quot;imgUrl&quot;:&quot;https://ss1.dydata.io/newchartLogo.png&quot;,&quot;show&quot;:true,&quot;topLineHeight&quot;:&quot;11&quot;},&quot;map&quot;:[[{&quot;allowType&quot;:[&quot;string&quot;],&quot;configurable&quot;:false,&quot;function&quot;:&quot;objCol&quot;,&quot;index&quot;:0,&quot;isLegend&quot;:true,&quot;name&quot;:&quot;名称&quot;},{&quot;allowType&quot;:[&quot;number&quot;],&quot;configurable&quot;:false,&quot;function&quot;:&quot;vCol&quot;,&quot;index&quot;:1,&quot;isLegend&quot;:false,&quot;name&quot;:&quot;值&quot;}]],&quot;paddings&quot;:{&quot;bottom&quot;:&quot;33&quot;,&quot;chartBottom&quot;:&quot;5&quot;,&quot;left&quot;:&quot;24&quot;,&quot;right&quot;:&quot;24&quot;,&quot;top&quot;:&quot;24&quot;},&quot;publishDisplay&quot;:{&quot;color&quot;:&quot;#878787&quot;,&quot;fontFamily&quot;:&quot;黑体&quot;,&quot;fontSize&quot;:&quot;14&quot;,&quot;show&quot;:true,&quot;text&quot;:&quot;镝数出品&quot;},&quot;size&quot;:{&quot;height&quot;:274,&quot;ratio&quot;:&quot;&quot;,&quot;rotate&quot;:0,&quot;width&quot;:483},&quot;sourceDisplay&quot;:{&quot;color&quot;:&quot;#878787&quot;,&quot;fontFamily&quot;:&quot;黑体&quot;,&quot;fontSize&quot;:&quot;14&quot;,&quot;show&quot;:false,&quot;text&quot;:&quot;数据来源：示例数据&quot;,&quot;topLineHeight&quot;:&quot;15&quot;,&quot;xPosition&quot;:&quot;left&quot;,&quot;yPosition&quot;:&quot;bottom&quot;},&quot;titleDisplay&quot;:{&quot;color&quot;:&quot;#4c4c4c&quot;,&quot;fontFamily&quot;:&quot;黑体&quot;,&quot;fontSize&quot;:&quot;32&quot;,&quot;lineHeight&quot;:&quot;10&quot;,&quot;show&quot;:false,&quot;text&quot;:&quot;中国独角兽企业类型分布&quot;,&quot;totalHeight&quot;:&quot;39&quot;,&quot;xPosition&quot;:&quot;left&quot;,&quot;yPosition&quot;:&quot;top&quot;},&quot;tooltip&quot;:true,&quot;unitDisplay&quot;:{&quot;bottomLineHeight&quot;:&quot;15&quot;,&quot;color&quot;:&quot;#878787&quot;,&quot;fontFamily&quot;:&quot;黑体&quot;,&quot;fontSize&quot;:&quot;14&quot;,&quot;show&quot;:false,&quot;text&quot;:&quot;单位：%&quot;,&quot;xPosition&quot;:&quot;left&quot;,&quot;yPosition&quot;:&quot;top&quot;},&quot;watermarkDisplay&quot;:{&quot;imgHeight&quot;:&quot;80&quot;,&quot;imgUrl&quot;:&quot;https://ss1.dydata.io/newchartWatermark.png&quot;,&quot;imgWidth&quot;:&quot;80&quot;,&quot;show&quot;:true}},&quot;templateId&quot;:&quot;5945734748594536331&quot;,&quot;templateSwitch&quot;:&quot;key-value&quot;,&quot;theme&quot;:{&quot;axis&quot;:{&quot;color&quot;:&quot;#a1a1a1&quot;},&quot;backgroundColor&quot;:&quot;#FFFFFF&quot;,&quot;colors&quot;:[&quot;#5AAEF3&quot;,&quot;#62D9AD&quot;,&quot;#5B6E96&quot;,&quot;#a8dffa&quot;,&quot;#ffdc4c&quot;,&quot;#FF974C&quot;,&quot;#E65A56&quot;,&quot;#6D61E4&quot;,&quot;#4A6FE2&quot;,&quot;#6D9AE7&quot;,&quot;#23C2DB&quot;,&quot;#D4EC59&quot;,&quot;#FFE88E&quot;,&quot;#FEB64D&quot;,&quot;#FB6E6C&quot;],&quot;fonts&quot;:{&quot;accessoryColor&quot;:&quot;#878787&quot;,&quot;color&quot;:&quot;#545454&quot;,&quot;fontFamily&quot;:&quot;黑体&quot;,&quot;fontSize&quot;:&quot;14&quot;},&quot;grid&quot;:{&quot;color&quot;:&quot;#ccc&quot;},&quot;name&quot;:&quot;默认主题&quot;,&quot;price&quot;:&quot;0.0&quot;,&quot;shapeColor&quot;:1,&quot;themeId&quot;:&quot;18&quot;,&quot;titleFont&quot;:{&quot;color&quot;:&quot;#4c4c4c&quot;,&quot;fontFamily&quot;:&quot;黑体&quot;,&quot;fontSize&quot;:&quot;32&quot;}},&quot;thumb&quot;:&quot;//web.docer.wpscdn.cn/docer/ds-page/images/8AWxS9FDGuLQToJPx7oMKe.9BC1CE84.jpg?imageView2/2/w/500/quality/90&quot;,&quot;title&quot;:&quot;玉玦图&quot;,&quot;type&quot;:&quot;chart&quot;},&quot;dschart_id&quot;:&quot;5945734748594536331&quot;,&quot;flag&quot;:&quot;1003&quot;,&quot;id&quot;:&quot;2&quot;}"/>
    <wpswe:property key="isUseCommonErrorPage" value="false"/>
    <wpswe:property key="loadingImage" value="res:/icons/DsWebShapeDefaultPage.svg"/>
  </wpswe:properties>
  <wpswe:watchingCache>
    <wpswe:linkPath>C:/Users/Administrator/AppData/Local/Temp/wps.gmvGoK/Workbook1.xlsx</wpswe:linkPath>
    <wpswe:dataRange>
      <wpswe:key>data_source</wpswe:key>
      <wpswe:context>Sheet1!$A$1:$B$6</wpswe:context>
      <wpswe:count>6</wpswe:count>
      <wpswe:cells wpswe:idx="0">
        <wpswe:count>2</wpswe:count>
        <wpswe:formatCode>General</wpswe:formatCode>
        <wpswe:cell wpswe:idx="0">
          <wpswe:value>就业统计7个率</wpswe:value>
        </wpswe:cell>
        <wpswe:cell wpswe:idx="1">
          <wpswe:value>占比 </wpswe:value>
        </wpswe:cell>
      </wpswe:cells>
      <wpswe:cells wpswe:idx="1">
        <wpswe:count>2</wpswe:count>
        <wpswe:formatCode>General</wpswe:formatCode>
        <wpswe:cell wpswe:idx="0">
          <wpswe:value>协议和合同就业</wpswe:value>
        </wpswe:cell>
        <wpswe:cell wpswe:idx="1" wpswe:formatCode="0.00%">
          <wpswe:value>0.0899</wpswe:value>
        </wpswe:cell>
      </wpswe:cells>
      <wpswe:cells wpswe:idx="2">
        <wpswe:count>2</wpswe:count>
        <wpswe:formatCode>General</wpswe:formatCode>
        <wpswe:cell wpswe:idx="0">
          <wpswe:value>自主创业</wpswe:value>
        </wpswe:cell>
        <wpswe:cell wpswe:idx="1" wpswe:formatCode="0.00%">
          <wpswe:value>0.0033</wpswe:value>
        </wpswe:cell>
      </wpswe:cells>
      <wpswe:cells wpswe:idx="3">
        <wpswe:count>2</wpswe:count>
        <wpswe:formatCode>General</wpswe:formatCode>
        <wpswe:cell wpswe:idx="0">
          <wpswe:value>灵活就业</wpswe:value>
        </wpswe:cell>
        <wpswe:cell wpswe:idx="1" wpswe:formatCode="0.00%">
          <wpswe:value>0.7577</wpswe:value>
        </wpswe:cell>
      </wpswe:cells>
      <wpswe:cells wpswe:idx="4">
        <wpswe:count>2</wpswe:count>
        <wpswe:formatCode>General</wpswe:formatCode>
        <wpswe:cell wpswe:idx="0">
          <wpswe:value>升学</wpswe:value>
        </wpswe:cell>
        <wpswe:cell wpswe:idx="1" wpswe:formatCode="0.00%">
          <wpswe:value>0.0608</wpswe:value>
        </wpswe:cell>
      </wpswe:cells>
      <wpswe:cells wpswe:idx="5">
        <wpswe:count>2</wpswe:count>
        <wpswe:formatCode>General</wpswe:formatCode>
        <wpswe:cell wpswe:idx="0">
          <wpswe:value>待就业</wpswe:value>
        </wpswe:cell>
        <wpswe:cell wpswe:idx="1">
          <wpswe:value>8.82</wpswe:value>
        </wpswe:cell>
      </wpswe:cells>
    </wpswe:dataRange>
  </wpswe:watchingCache>
  <wpswe:snapshot xmlns:r="http://schemas.openxmlformats.org/officeDocument/2006/relationships" r:embed="rId2"/>
  <wpswe:externalData xmlns:r="http://schemas.openxmlformats.org/officeDocument/2006/relationships" r:id="rId1"/>
  <wpswe:url>https://clientweb.docer.wps.cn/ds/1.0.0/webShapeView?id=2&amp;dschart_id=5945734748594536331&amp;flag=1003</wpswe:url>
  <wpswe:constantSnapshot>false</wpswe:constantSnapshot>
</wps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1540</Words>
  <Characters>2060</Characters>
  <TotalTime>29</TotalTime>
  <ScaleCrop>false</ScaleCrop>
  <LinksUpToDate>false</LinksUpToDate>
  <CharactersWithSpaces>2132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2021-12-09T01:41:00Z</dcterms:created>
  <dc:creator>Administrator</dc:creator>
  <cp:lastModifiedBy>X</cp:lastModifiedBy>
  <cp:lastPrinted>2025-01-09T07:17:00Z</cp:lastPrinted>
  <dcterms:modified xsi:type="dcterms:W3CDTF">2025-05-29T01:29:54Z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2021-01-21T00:00:00Z</vt:filetime>
  </property>
  <property fmtid="{D5CDD505-2E9C-101B-9397-08002B2CF9AE}" pid="3" name="Creator">
    <vt:lpwstr>Adobe InDesign CC 14.0 (Windows)</vt:lpwstr>
  </property>
  <property fmtid="{D5CDD505-2E9C-101B-9397-08002B2CF9AE}" pid="4" name="LastSaved">
    <vt:filetime>2021-12-09T00:00:00Z</vt:filetime>
  </property>
  <property fmtid="{D5CDD505-2E9C-101B-9397-08002B2CF9AE}" pid="5" name="KSOProductBuildVer">
    <vt:lpwstr>2052-12.1.0.21171</vt:lpwstr>
  </property>
  <property fmtid="{D5CDD505-2E9C-101B-9397-08002B2CF9AE}" pid="6" name="ICV">
    <vt:lpwstr>E942E853C9134B52918875FA0BB69328_13</vt:lpwstr>
  </property>
  <property fmtid="{D5CDD505-2E9C-101B-9397-08002B2CF9AE}" pid="7" name="KSOTemplateDocerSaveRecord">
    <vt:lpwstr>eyJoZGlkIjoiNThjZmFmMTcxZGYzNzNmZGQ1ODBlODY4YTJjNTRlOTYiLCJ1c2VySWQiOiIxMjAyNDMzOTc3In0=</vt:lpwstr>
  </property>
</Properties>
</file>